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E8D7" w14:textId="77777777" w:rsidR="00361BBC" w:rsidRDefault="00000000">
      <w:r>
        <w:rPr>
          <w:noProof/>
        </w:rPr>
        <w:pict w14:anchorId="3C08F166">
          <v:shapetype id="_x0000_t202" coordsize="21600,21600" o:spt="202" path="m,l,21600r21600,l21600,xe">
            <v:stroke joinstyle="miter"/>
            <v:path gradientshapeok="t" o:connecttype="rect"/>
          </v:shapetype>
          <v:shape id="Text Box 2" o:spid="_x0000_s2050" type="#_x0000_t202" style="position:absolute;margin-left:248.25pt;margin-top:10.5pt;width:179.15pt;height:77.6pt;z-index:1;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">
            <v:textbox>
              <w:txbxContent>
                <w:p w14:paraId="189D61C0" w14:textId="77777777" w:rsidR="00A016DC" w:rsidRPr="00A016DC" w:rsidRDefault="00A016DC" w:rsidP="00A016DC">
                  <w:pPr>
                    <w:jc w:val="center"/>
                    <w:rPr>
                      <w:b/>
                      <w:bCs/>
                      <w:sz w:val="32"/>
                      <w:szCs w:val="32"/>
                    </w:rPr>
                  </w:pPr>
                  <w:r w:rsidRPr="00A016DC">
                    <w:rPr>
                      <w:b/>
                      <w:bCs/>
                      <w:sz w:val="32"/>
                      <w:szCs w:val="32"/>
                    </w:rPr>
                    <w:t>Wheelchair Alliance</w:t>
                  </w:r>
                </w:p>
                <w:p w14:paraId="68BBAFC8" w14:textId="77777777" w:rsidR="00A016DC" w:rsidRDefault="00A016DC" w:rsidP="00A016DC">
                  <w:pPr>
                    <w:jc w:val="center"/>
                    <w:rPr>
                      <w:b/>
                      <w:bCs/>
                    </w:rPr>
                  </w:pPr>
                  <w:r>
                    <w:rPr>
                      <w:b/>
                      <w:bCs/>
                    </w:rPr>
                    <w:t>Community Interest Company</w:t>
                  </w:r>
                </w:p>
                <w:p w14:paraId="03536BDE" w14:textId="77777777" w:rsidR="00A016DC" w:rsidRPr="00430977" w:rsidRDefault="00A016DC" w:rsidP="00A016DC">
                  <w:pPr>
                    <w:jc w:val="center"/>
                    <w:rPr>
                      <w:b/>
                      <w:bCs/>
                      <w:i/>
                      <w:iCs/>
                      <w:color w:val="4472C4"/>
                    </w:rPr>
                  </w:pPr>
                  <w:r w:rsidRPr="00430977">
                    <w:rPr>
                      <w:b/>
                      <w:bCs/>
                      <w:i/>
                      <w:iCs/>
                      <w:color w:val="4472C4"/>
                    </w:rPr>
                    <w:t>‘Strengthening your voice’</w:t>
                  </w:r>
                </w:p>
                <w:p w14:paraId="325DDFD1" w14:textId="77777777" w:rsidR="00A016DC" w:rsidRDefault="00A016DC"/>
              </w:txbxContent>
            </v:textbox>
            <w10:wrap type="square"/>
          </v:shape>
        </w:pict>
      </w:r>
      <w:r>
        <w:rPr>
          <w:noProof/>
          <w:lang w:eastAsia="en-GB"/>
        </w:rPr>
        <w:pict w14:anchorId="02D21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5.9pt;height:83.65pt;visibility:visible">
            <v:imagedata r:id="rId7" o:title=""/>
          </v:shape>
        </w:pict>
      </w:r>
    </w:p>
    <w:p w14:paraId="611636BA" w14:textId="77777777" w:rsidR="00A016DC" w:rsidRDefault="00A016DC"/>
    <w:p w14:paraId="2C3E675F" w14:textId="77777777" w:rsidR="00A016DC" w:rsidRDefault="00A016DC"/>
    <w:p w14:paraId="71106D44" w14:textId="77777777" w:rsidR="00A016DC" w:rsidRDefault="00A016DC"/>
    <w:p w14:paraId="1E3CCE07" w14:textId="1D163C38" w:rsidR="00A016DC" w:rsidRDefault="00D26A9F" w:rsidP="00A016DC">
      <w:pPr>
        <w:jc w:val="center"/>
        <w:rPr>
          <w:b/>
          <w:bCs/>
          <w:sz w:val="36"/>
          <w:szCs w:val="36"/>
        </w:rPr>
      </w:pPr>
      <w:r>
        <w:rPr>
          <w:b/>
          <w:bCs/>
          <w:sz w:val="36"/>
          <w:szCs w:val="36"/>
        </w:rPr>
        <w:t>Information Communication Technology and Security</w:t>
      </w:r>
      <w:r w:rsidR="00A016DC" w:rsidRPr="00A016DC">
        <w:rPr>
          <w:b/>
          <w:bCs/>
          <w:sz w:val="36"/>
          <w:szCs w:val="36"/>
        </w:rPr>
        <w:t xml:space="preserve"> Policy</w:t>
      </w:r>
    </w:p>
    <w:p w14:paraId="1DB8B3FE" w14:textId="77777777" w:rsidR="00A016DC" w:rsidRDefault="00A016DC" w:rsidP="00A016DC">
      <w:pPr>
        <w:jc w:val="center"/>
        <w:rPr>
          <w:b/>
          <w:bCs/>
          <w:sz w:val="36"/>
          <w:szCs w:val="36"/>
        </w:rPr>
      </w:pPr>
    </w:p>
    <w:p w14:paraId="51DDDBC2" w14:textId="77777777" w:rsidR="00A016DC" w:rsidRDefault="00A016DC" w:rsidP="00A016DC">
      <w:pPr>
        <w:jc w:val="center"/>
        <w:rPr>
          <w:b/>
          <w:bCs/>
          <w:sz w:val="36"/>
          <w:szCs w:val="36"/>
        </w:rPr>
      </w:pPr>
    </w:p>
    <w:p w14:paraId="47447C11" w14:textId="77777777" w:rsidR="00A016DC" w:rsidRDefault="00A016DC" w:rsidP="00A016DC">
      <w:pPr>
        <w:rPr>
          <w:b/>
          <w:bCs/>
          <w:sz w:val="36"/>
          <w:szCs w:val="36"/>
        </w:rPr>
      </w:pPr>
    </w:p>
    <w:p w14:paraId="295862CE" w14:textId="77059AB9" w:rsidR="00A016DC" w:rsidRDefault="00A016DC" w:rsidP="00A016DC">
      <w:pPr>
        <w:rPr>
          <w:b/>
          <w:bCs/>
          <w:sz w:val="36"/>
          <w:szCs w:val="36"/>
        </w:rPr>
      </w:pPr>
    </w:p>
    <w:p w14:paraId="2D0DAE42" w14:textId="00E2E7FB" w:rsidR="001A3A7B" w:rsidRDefault="001A3A7B" w:rsidP="00A016DC">
      <w:pPr>
        <w:rPr>
          <w:b/>
          <w:bCs/>
          <w:sz w:val="36"/>
          <w:szCs w:val="36"/>
        </w:rPr>
      </w:pPr>
    </w:p>
    <w:p w14:paraId="1BEA3F09" w14:textId="0480EE40" w:rsidR="001A3A7B" w:rsidRDefault="001A3A7B" w:rsidP="00A016DC">
      <w:pPr>
        <w:rPr>
          <w:b/>
          <w:bCs/>
          <w:sz w:val="36"/>
          <w:szCs w:val="36"/>
        </w:rPr>
      </w:pPr>
    </w:p>
    <w:p w14:paraId="6140D225" w14:textId="0ECAC32D" w:rsidR="001A3A7B" w:rsidRDefault="001A3A7B" w:rsidP="00A016DC">
      <w:pPr>
        <w:rPr>
          <w:b/>
          <w:bCs/>
          <w:sz w:val="36"/>
          <w:szCs w:val="36"/>
        </w:rPr>
      </w:pPr>
    </w:p>
    <w:p w14:paraId="13AE5C88" w14:textId="77777777" w:rsidR="001A3A7B" w:rsidRDefault="001A3A7B" w:rsidP="00A016DC">
      <w:pPr>
        <w:rPr>
          <w:b/>
          <w:bCs/>
          <w:sz w:val="36"/>
          <w:szCs w:val="36"/>
        </w:rPr>
      </w:pPr>
    </w:p>
    <w:p w14:paraId="3ED34F61" w14:textId="77777777" w:rsidR="00A016DC" w:rsidRDefault="00A016DC" w:rsidP="00A016DC">
      <w:pPr>
        <w:rPr>
          <w:b/>
          <w:bCs/>
          <w:sz w:val="24"/>
          <w:szCs w:val="24"/>
        </w:rPr>
      </w:pPr>
    </w:p>
    <w:p w14:paraId="4B990E36" w14:textId="7910EC6F" w:rsidR="00A016DC" w:rsidRDefault="00A016DC" w:rsidP="00A016DC">
      <w:pPr>
        <w:rPr>
          <w:b/>
          <w:bCs/>
          <w:sz w:val="24"/>
          <w:szCs w:val="24"/>
        </w:rPr>
      </w:pPr>
    </w:p>
    <w:p w14:paraId="147B6A51" w14:textId="77777777" w:rsidR="001A3A7B" w:rsidRDefault="001A3A7B" w:rsidP="001A3A7B">
      <w:pPr>
        <w:rPr>
          <w:b/>
          <w:bCs/>
          <w:sz w:val="24"/>
          <w:szCs w:val="24"/>
        </w:rPr>
      </w:pPr>
      <w:r>
        <w:rPr>
          <w:b/>
          <w:bCs/>
          <w:sz w:val="24"/>
          <w:szCs w:val="24"/>
        </w:rPr>
        <w:t>Issue date:</w:t>
      </w:r>
      <w:r>
        <w:rPr>
          <w:b/>
          <w:bCs/>
          <w:sz w:val="24"/>
          <w:szCs w:val="24"/>
        </w:rPr>
        <w:tab/>
      </w:r>
      <w:r>
        <w:rPr>
          <w:b/>
          <w:bCs/>
          <w:sz w:val="24"/>
          <w:szCs w:val="24"/>
        </w:rPr>
        <w:tab/>
        <w:t>13</w:t>
      </w:r>
      <w:r w:rsidRPr="00B26F70">
        <w:rPr>
          <w:b/>
          <w:bCs/>
          <w:sz w:val="24"/>
          <w:szCs w:val="24"/>
          <w:vertAlign w:val="superscript"/>
        </w:rPr>
        <w:t>th</w:t>
      </w:r>
      <w:r>
        <w:rPr>
          <w:b/>
          <w:bCs/>
          <w:sz w:val="24"/>
          <w:szCs w:val="24"/>
        </w:rPr>
        <w:t xml:space="preserve"> February 2023 (unanimous ratification at Board meeting)</w:t>
      </w:r>
    </w:p>
    <w:p w14:paraId="5DAA72D3" w14:textId="77777777" w:rsidR="001A3A7B" w:rsidRDefault="001A3A7B" w:rsidP="001A3A7B">
      <w:pPr>
        <w:rPr>
          <w:b/>
          <w:bCs/>
          <w:sz w:val="24"/>
          <w:szCs w:val="24"/>
        </w:rPr>
      </w:pPr>
    </w:p>
    <w:p w14:paraId="6F03FAD7" w14:textId="77777777" w:rsidR="001A3A7B" w:rsidRDefault="001A3A7B" w:rsidP="001A3A7B">
      <w:pPr>
        <w:rPr>
          <w:b/>
          <w:bCs/>
          <w:sz w:val="24"/>
          <w:szCs w:val="24"/>
        </w:rPr>
      </w:pPr>
      <w:r>
        <w:rPr>
          <w:b/>
          <w:bCs/>
          <w:sz w:val="24"/>
          <w:szCs w:val="24"/>
        </w:rPr>
        <w:t>Review date:</w:t>
      </w:r>
      <w:r>
        <w:rPr>
          <w:b/>
          <w:bCs/>
          <w:sz w:val="24"/>
          <w:szCs w:val="24"/>
        </w:rPr>
        <w:tab/>
      </w:r>
      <w:r>
        <w:rPr>
          <w:b/>
          <w:bCs/>
          <w:sz w:val="24"/>
          <w:szCs w:val="24"/>
        </w:rPr>
        <w:tab/>
        <w:t>12</w:t>
      </w:r>
      <w:r w:rsidRPr="00B26F70">
        <w:rPr>
          <w:b/>
          <w:bCs/>
          <w:sz w:val="24"/>
          <w:szCs w:val="24"/>
          <w:vertAlign w:val="superscript"/>
        </w:rPr>
        <w:t>th</w:t>
      </w:r>
      <w:r>
        <w:rPr>
          <w:b/>
          <w:bCs/>
          <w:sz w:val="24"/>
          <w:szCs w:val="24"/>
        </w:rPr>
        <w:t xml:space="preserve"> February 2024 or following legislative </w:t>
      </w:r>
      <w:proofErr w:type="gramStart"/>
      <w:r>
        <w:rPr>
          <w:b/>
          <w:bCs/>
          <w:sz w:val="24"/>
          <w:szCs w:val="24"/>
        </w:rPr>
        <w:t>change</w:t>
      </w:r>
      <w:proofErr w:type="gramEnd"/>
    </w:p>
    <w:p w14:paraId="06BB036B" w14:textId="77777777" w:rsidR="001A3A7B" w:rsidRDefault="001A3A7B" w:rsidP="001A3A7B">
      <w:pPr>
        <w:rPr>
          <w:b/>
          <w:bCs/>
          <w:sz w:val="24"/>
          <w:szCs w:val="24"/>
        </w:rPr>
      </w:pPr>
    </w:p>
    <w:p w14:paraId="4F7ED658" w14:textId="77777777" w:rsidR="001A3A7B" w:rsidRDefault="001A3A7B" w:rsidP="001A3A7B">
      <w:pPr>
        <w:rPr>
          <w:b/>
          <w:bCs/>
          <w:sz w:val="24"/>
          <w:szCs w:val="24"/>
        </w:rPr>
      </w:pPr>
      <w:r>
        <w:rPr>
          <w:b/>
          <w:bCs/>
          <w:sz w:val="24"/>
          <w:szCs w:val="24"/>
        </w:rPr>
        <w:t>Approved by:</w:t>
      </w:r>
      <w:r>
        <w:rPr>
          <w:b/>
          <w:bCs/>
          <w:sz w:val="24"/>
          <w:szCs w:val="24"/>
        </w:rPr>
        <w:tab/>
      </w:r>
      <w:r>
        <w:rPr>
          <w:b/>
          <w:bCs/>
          <w:sz w:val="24"/>
          <w:szCs w:val="24"/>
        </w:rPr>
        <w:tab/>
        <w:t xml:space="preserve">Nick </w:t>
      </w:r>
      <w:proofErr w:type="spellStart"/>
      <w:r>
        <w:rPr>
          <w:b/>
          <w:bCs/>
          <w:sz w:val="24"/>
          <w:szCs w:val="24"/>
        </w:rPr>
        <w:t>Goldup</w:t>
      </w:r>
      <w:proofErr w:type="spellEnd"/>
      <w:r>
        <w:rPr>
          <w:b/>
          <w:bCs/>
          <w:sz w:val="24"/>
          <w:szCs w:val="24"/>
        </w:rPr>
        <w:t xml:space="preserve"> (Chair and director)</w:t>
      </w:r>
    </w:p>
    <w:p w14:paraId="4FF1C9D5" w14:textId="77777777" w:rsidR="001A3A7B" w:rsidRDefault="001A3A7B" w:rsidP="001A3A7B">
      <w:pPr>
        <w:rPr>
          <w:b/>
          <w:bCs/>
          <w:sz w:val="24"/>
          <w:szCs w:val="24"/>
        </w:rPr>
      </w:pPr>
      <w:r>
        <w:rPr>
          <w:b/>
          <w:bCs/>
          <w:sz w:val="24"/>
          <w:szCs w:val="24"/>
        </w:rPr>
        <w:tab/>
      </w:r>
      <w:r>
        <w:rPr>
          <w:b/>
          <w:bCs/>
          <w:sz w:val="24"/>
          <w:szCs w:val="24"/>
        </w:rPr>
        <w:tab/>
      </w:r>
      <w:r>
        <w:rPr>
          <w:b/>
          <w:bCs/>
          <w:sz w:val="24"/>
          <w:szCs w:val="24"/>
        </w:rPr>
        <w:tab/>
        <w:t>Jon Sawford (Company Secretary, Safeguarding lead &amp; director)</w:t>
      </w:r>
    </w:p>
    <w:p w14:paraId="6CF97621" w14:textId="23209650" w:rsidR="001A3A7B" w:rsidRDefault="001A3A7B" w:rsidP="00A016DC">
      <w:pPr>
        <w:rPr>
          <w:b/>
          <w:bCs/>
          <w:sz w:val="24"/>
          <w:szCs w:val="24"/>
        </w:rPr>
      </w:pPr>
      <w:r>
        <w:rPr>
          <w:b/>
          <w:bCs/>
          <w:sz w:val="24"/>
          <w:szCs w:val="24"/>
        </w:rPr>
        <w:tab/>
      </w:r>
      <w:r>
        <w:rPr>
          <w:b/>
          <w:bCs/>
          <w:sz w:val="24"/>
          <w:szCs w:val="24"/>
        </w:rPr>
        <w:tab/>
      </w:r>
      <w:r>
        <w:rPr>
          <w:b/>
          <w:bCs/>
          <w:sz w:val="24"/>
          <w:szCs w:val="24"/>
        </w:rPr>
        <w:tab/>
        <w:t>Ray Hodgkinson (Honorary Treasurer and director)</w:t>
      </w:r>
    </w:p>
    <w:p w14:paraId="5E6CF18C" w14:textId="77777777" w:rsidR="001A3A7B" w:rsidRDefault="001A3A7B" w:rsidP="00A016DC">
      <w:pPr>
        <w:rPr>
          <w:b/>
          <w:bCs/>
          <w:sz w:val="24"/>
          <w:szCs w:val="24"/>
        </w:rPr>
      </w:pPr>
    </w:p>
    <w:p w14:paraId="3DAF1E86" w14:textId="77777777" w:rsidR="00A016DC" w:rsidRDefault="00A016DC" w:rsidP="00A016DC">
      <w:pPr>
        <w:rPr>
          <w:b/>
          <w:bCs/>
          <w:sz w:val="24"/>
          <w:szCs w:val="24"/>
        </w:rPr>
      </w:pPr>
    </w:p>
    <w:p w14:paraId="31EE78BC" w14:textId="77777777" w:rsidR="001B1766" w:rsidRDefault="001B1766" w:rsidP="00430977">
      <w:pPr>
        <w:spacing w:after="0"/>
        <w:ind w:left="720" w:firstLine="720"/>
        <w:rPr>
          <w:b/>
          <w:bCs/>
          <w:sz w:val="24"/>
          <w:szCs w:val="24"/>
        </w:rPr>
      </w:pPr>
    </w:p>
    <w:p w14:paraId="58449252" w14:textId="77777777" w:rsidR="001B1766" w:rsidRDefault="001B1766" w:rsidP="00430977">
      <w:pPr>
        <w:spacing w:after="0"/>
        <w:ind w:left="720" w:firstLine="720"/>
        <w:rPr>
          <w:b/>
          <w:bCs/>
          <w:sz w:val="24"/>
          <w:szCs w:val="24"/>
        </w:rPr>
      </w:pPr>
    </w:p>
    <w:p w14:paraId="0B32FE7D" w14:textId="5F6D1816" w:rsidR="001B1766" w:rsidRDefault="001B1766" w:rsidP="001B1766">
      <w:pPr>
        <w:spacing w:after="0"/>
        <w:rPr>
          <w:b/>
          <w:bCs/>
          <w:sz w:val="24"/>
          <w:szCs w:val="24"/>
        </w:rPr>
      </w:pPr>
      <w:r>
        <w:rPr>
          <w:b/>
          <w:bCs/>
          <w:sz w:val="24"/>
          <w:szCs w:val="24"/>
        </w:rPr>
        <w:t>Table of contents</w:t>
      </w:r>
    </w:p>
    <w:p w14:paraId="15239B9E" w14:textId="77777777" w:rsidR="001B1766" w:rsidRDefault="001B1766" w:rsidP="00430977">
      <w:pPr>
        <w:spacing w:after="0"/>
        <w:ind w:left="720" w:firstLine="720"/>
        <w:rPr>
          <w:b/>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517"/>
        <w:gridCol w:w="1054"/>
      </w:tblGrid>
      <w:tr w:rsidR="007E7665" w:rsidRPr="001B1766" w14:paraId="2FC99897" w14:textId="77777777" w:rsidTr="001B1766">
        <w:tc>
          <w:tcPr>
            <w:tcW w:w="951" w:type="dxa"/>
            <w:shd w:val="clear" w:color="auto" w:fill="auto"/>
          </w:tcPr>
          <w:p w14:paraId="2F2E5724" w14:textId="51E85E28" w:rsidR="001B1766" w:rsidRPr="001B1766" w:rsidRDefault="001B1766" w:rsidP="001B1766">
            <w:pPr>
              <w:spacing w:after="0"/>
              <w:rPr>
                <w:b/>
                <w:bCs/>
                <w:sz w:val="24"/>
                <w:szCs w:val="24"/>
              </w:rPr>
            </w:pPr>
            <w:r w:rsidRPr="001B1766">
              <w:rPr>
                <w:b/>
                <w:bCs/>
                <w:sz w:val="24"/>
                <w:szCs w:val="24"/>
              </w:rPr>
              <w:t>Section</w:t>
            </w:r>
          </w:p>
        </w:tc>
        <w:tc>
          <w:tcPr>
            <w:tcW w:w="6517" w:type="dxa"/>
            <w:shd w:val="clear" w:color="auto" w:fill="auto"/>
          </w:tcPr>
          <w:p w14:paraId="1FD1D918" w14:textId="4C7DD748" w:rsidR="001B1766" w:rsidRPr="001B1766" w:rsidRDefault="001B1766" w:rsidP="001B1766">
            <w:pPr>
              <w:spacing w:after="0"/>
              <w:rPr>
                <w:b/>
                <w:bCs/>
                <w:sz w:val="24"/>
                <w:szCs w:val="24"/>
              </w:rPr>
            </w:pPr>
            <w:r w:rsidRPr="001B1766">
              <w:rPr>
                <w:b/>
                <w:bCs/>
                <w:sz w:val="24"/>
                <w:szCs w:val="24"/>
              </w:rPr>
              <w:t xml:space="preserve">Content </w:t>
            </w:r>
          </w:p>
        </w:tc>
        <w:tc>
          <w:tcPr>
            <w:tcW w:w="1054" w:type="dxa"/>
            <w:shd w:val="clear" w:color="auto" w:fill="auto"/>
          </w:tcPr>
          <w:p w14:paraId="50823F77" w14:textId="0E401163" w:rsidR="001B1766" w:rsidRPr="001B1766" w:rsidRDefault="001B1766" w:rsidP="001B1766">
            <w:pPr>
              <w:spacing w:after="0"/>
              <w:rPr>
                <w:b/>
                <w:bCs/>
                <w:sz w:val="24"/>
                <w:szCs w:val="24"/>
              </w:rPr>
            </w:pPr>
            <w:r w:rsidRPr="001B1766">
              <w:rPr>
                <w:b/>
                <w:bCs/>
                <w:sz w:val="24"/>
                <w:szCs w:val="24"/>
              </w:rPr>
              <w:t>Page</w:t>
            </w:r>
          </w:p>
        </w:tc>
      </w:tr>
      <w:tr w:rsidR="007E7665" w:rsidRPr="001B1766" w14:paraId="7992FE91" w14:textId="77777777" w:rsidTr="001B1766">
        <w:tc>
          <w:tcPr>
            <w:tcW w:w="951" w:type="dxa"/>
            <w:shd w:val="clear" w:color="auto" w:fill="auto"/>
          </w:tcPr>
          <w:p w14:paraId="63EFA2F5" w14:textId="3574688D" w:rsidR="001B1766" w:rsidRPr="001B1766" w:rsidRDefault="001B1766" w:rsidP="001B1766">
            <w:pPr>
              <w:spacing w:after="0"/>
              <w:rPr>
                <w:b/>
                <w:bCs/>
                <w:sz w:val="24"/>
                <w:szCs w:val="24"/>
              </w:rPr>
            </w:pPr>
            <w:r w:rsidRPr="001B1766">
              <w:rPr>
                <w:b/>
                <w:bCs/>
                <w:sz w:val="24"/>
                <w:szCs w:val="24"/>
              </w:rPr>
              <w:t>1.</w:t>
            </w:r>
          </w:p>
        </w:tc>
        <w:tc>
          <w:tcPr>
            <w:tcW w:w="6517" w:type="dxa"/>
            <w:shd w:val="clear" w:color="auto" w:fill="auto"/>
          </w:tcPr>
          <w:p w14:paraId="7B4B837E" w14:textId="6AF744C2" w:rsidR="001B1766" w:rsidRPr="001B1766" w:rsidRDefault="00D26A9F" w:rsidP="001B1766">
            <w:pPr>
              <w:spacing w:after="0"/>
              <w:rPr>
                <w:b/>
                <w:bCs/>
                <w:sz w:val="24"/>
                <w:szCs w:val="24"/>
              </w:rPr>
            </w:pPr>
            <w:r>
              <w:rPr>
                <w:b/>
                <w:bCs/>
                <w:sz w:val="24"/>
                <w:szCs w:val="24"/>
              </w:rPr>
              <w:t>The Policy</w:t>
            </w:r>
          </w:p>
        </w:tc>
        <w:tc>
          <w:tcPr>
            <w:tcW w:w="1054" w:type="dxa"/>
            <w:shd w:val="clear" w:color="auto" w:fill="auto"/>
          </w:tcPr>
          <w:p w14:paraId="1B006798" w14:textId="2B15B3CC" w:rsidR="001B1766" w:rsidRPr="001B1766" w:rsidRDefault="00D26A9F" w:rsidP="001B1766">
            <w:pPr>
              <w:spacing w:after="0"/>
              <w:rPr>
                <w:b/>
                <w:bCs/>
                <w:sz w:val="24"/>
                <w:szCs w:val="24"/>
              </w:rPr>
            </w:pPr>
            <w:r>
              <w:rPr>
                <w:b/>
                <w:bCs/>
                <w:sz w:val="24"/>
                <w:szCs w:val="24"/>
              </w:rPr>
              <w:t>3</w:t>
            </w:r>
          </w:p>
        </w:tc>
      </w:tr>
      <w:tr w:rsidR="007E7665" w:rsidRPr="001B1766" w14:paraId="3010954F" w14:textId="77777777" w:rsidTr="001B1766">
        <w:tc>
          <w:tcPr>
            <w:tcW w:w="951" w:type="dxa"/>
            <w:shd w:val="clear" w:color="auto" w:fill="auto"/>
          </w:tcPr>
          <w:p w14:paraId="173D0467" w14:textId="28C7C7E9" w:rsidR="001B1766" w:rsidRPr="001B1766" w:rsidRDefault="001B1766" w:rsidP="001B1766">
            <w:pPr>
              <w:spacing w:after="0"/>
              <w:rPr>
                <w:b/>
                <w:bCs/>
                <w:sz w:val="24"/>
                <w:szCs w:val="24"/>
              </w:rPr>
            </w:pPr>
            <w:r w:rsidRPr="001B1766">
              <w:rPr>
                <w:b/>
                <w:bCs/>
                <w:sz w:val="24"/>
                <w:szCs w:val="24"/>
              </w:rPr>
              <w:t>2.</w:t>
            </w:r>
          </w:p>
        </w:tc>
        <w:tc>
          <w:tcPr>
            <w:tcW w:w="6517" w:type="dxa"/>
            <w:shd w:val="clear" w:color="auto" w:fill="auto"/>
          </w:tcPr>
          <w:p w14:paraId="1ADEA37C" w14:textId="7309C5DD" w:rsidR="001B1766" w:rsidRPr="001B1766" w:rsidRDefault="00D83491" w:rsidP="001B1766">
            <w:pPr>
              <w:spacing w:after="0"/>
              <w:rPr>
                <w:b/>
                <w:bCs/>
                <w:sz w:val="24"/>
                <w:szCs w:val="24"/>
              </w:rPr>
            </w:pPr>
            <w:r>
              <w:rPr>
                <w:b/>
                <w:bCs/>
                <w:sz w:val="24"/>
                <w:szCs w:val="24"/>
              </w:rPr>
              <w:t>Purpose</w:t>
            </w:r>
          </w:p>
        </w:tc>
        <w:tc>
          <w:tcPr>
            <w:tcW w:w="1054" w:type="dxa"/>
            <w:shd w:val="clear" w:color="auto" w:fill="auto"/>
          </w:tcPr>
          <w:p w14:paraId="6A328B22" w14:textId="58F8A49F" w:rsidR="001B1766" w:rsidRPr="001B1766" w:rsidRDefault="00D83491" w:rsidP="001B1766">
            <w:pPr>
              <w:spacing w:after="0"/>
              <w:rPr>
                <w:b/>
                <w:bCs/>
                <w:sz w:val="24"/>
                <w:szCs w:val="24"/>
              </w:rPr>
            </w:pPr>
            <w:r>
              <w:rPr>
                <w:b/>
                <w:bCs/>
                <w:sz w:val="24"/>
                <w:szCs w:val="24"/>
              </w:rPr>
              <w:t>3</w:t>
            </w:r>
          </w:p>
        </w:tc>
      </w:tr>
      <w:tr w:rsidR="007E7665" w:rsidRPr="001B1766" w14:paraId="4CC0EE8F" w14:textId="77777777" w:rsidTr="001B1766">
        <w:tc>
          <w:tcPr>
            <w:tcW w:w="951" w:type="dxa"/>
            <w:shd w:val="clear" w:color="auto" w:fill="auto"/>
          </w:tcPr>
          <w:p w14:paraId="073CB824" w14:textId="0B3B9D8C" w:rsidR="001B1766" w:rsidRPr="001B1766" w:rsidRDefault="001B1766" w:rsidP="001B1766">
            <w:pPr>
              <w:spacing w:after="0"/>
              <w:rPr>
                <w:b/>
                <w:bCs/>
                <w:sz w:val="24"/>
                <w:szCs w:val="24"/>
              </w:rPr>
            </w:pPr>
            <w:r w:rsidRPr="001B1766">
              <w:rPr>
                <w:b/>
                <w:bCs/>
                <w:sz w:val="24"/>
                <w:szCs w:val="24"/>
              </w:rPr>
              <w:t>3.</w:t>
            </w:r>
          </w:p>
        </w:tc>
        <w:tc>
          <w:tcPr>
            <w:tcW w:w="6517" w:type="dxa"/>
            <w:shd w:val="clear" w:color="auto" w:fill="auto"/>
          </w:tcPr>
          <w:p w14:paraId="3F70F8A5" w14:textId="1F1B7FF5" w:rsidR="001B1766" w:rsidRPr="001B1766" w:rsidRDefault="00D83491" w:rsidP="001B1766">
            <w:pPr>
              <w:spacing w:after="0"/>
              <w:rPr>
                <w:b/>
                <w:bCs/>
                <w:sz w:val="24"/>
                <w:szCs w:val="24"/>
              </w:rPr>
            </w:pPr>
            <w:r>
              <w:rPr>
                <w:b/>
                <w:bCs/>
                <w:sz w:val="24"/>
                <w:szCs w:val="24"/>
              </w:rPr>
              <w:t>Definitions</w:t>
            </w:r>
          </w:p>
        </w:tc>
        <w:tc>
          <w:tcPr>
            <w:tcW w:w="1054" w:type="dxa"/>
            <w:shd w:val="clear" w:color="auto" w:fill="auto"/>
          </w:tcPr>
          <w:p w14:paraId="6BFFBB4A" w14:textId="7D08AF32" w:rsidR="001B1766" w:rsidRPr="001B1766" w:rsidRDefault="00D83491" w:rsidP="001B1766">
            <w:pPr>
              <w:spacing w:after="0"/>
              <w:rPr>
                <w:b/>
                <w:bCs/>
                <w:sz w:val="24"/>
                <w:szCs w:val="24"/>
              </w:rPr>
            </w:pPr>
            <w:r>
              <w:rPr>
                <w:b/>
                <w:bCs/>
                <w:sz w:val="24"/>
                <w:szCs w:val="24"/>
              </w:rPr>
              <w:t>3</w:t>
            </w:r>
          </w:p>
        </w:tc>
      </w:tr>
      <w:tr w:rsidR="007E7665" w:rsidRPr="001B1766" w14:paraId="332146FF" w14:textId="77777777" w:rsidTr="001B1766">
        <w:tc>
          <w:tcPr>
            <w:tcW w:w="951" w:type="dxa"/>
            <w:shd w:val="clear" w:color="auto" w:fill="auto"/>
          </w:tcPr>
          <w:p w14:paraId="208CB459" w14:textId="04EFCDB9" w:rsidR="001B1766" w:rsidRPr="001B1766" w:rsidRDefault="001B1766" w:rsidP="001B1766">
            <w:pPr>
              <w:spacing w:after="0"/>
              <w:rPr>
                <w:b/>
                <w:bCs/>
                <w:sz w:val="24"/>
                <w:szCs w:val="24"/>
              </w:rPr>
            </w:pPr>
            <w:r w:rsidRPr="001B1766">
              <w:rPr>
                <w:b/>
                <w:bCs/>
                <w:sz w:val="24"/>
                <w:szCs w:val="24"/>
              </w:rPr>
              <w:t>4.</w:t>
            </w:r>
          </w:p>
        </w:tc>
        <w:tc>
          <w:tcPr>
            <w:tcW w:w="6517" w:type="dxa"/>
            <w:shd w:val="clear" w:color="auto" w:fill="auto"/>
          </w:tcPr>
          <w:p w14:paraId="50EF9059" w14:textId="19BB880D" w:rsidR="001B1766" w:rsidRPr="001B1766" w:rsidRDefault="00D83491" w:rsidP="001B1766">
            <w:pPr>
              <w:spacing w:after="0"/>
              <w:rPr>
                <w:b/>
                <w:bCs/>
                <w:sz w:val="24"/>
                <w:szCs w:val="24"/>
              </w:rPr>
            </w:pPr>
            <w:r>
              <w:rPr>
                <w:b/>
                <w:bCs/>
                <w:sz w:val="24"/>
                <w:szCs w:val="24"/>
              </w:rPr>
              <w:t>Principles</w:t>
            </w:r>
          </w:p>
        </w:tc>
        <w:tc>
          <w:tcPr>
            <w:tcW w:w="1054" w:type="dxa"/>
            <w:shd w:val="clear" w:color="auto" w:fill="auto"/>
          </w:tcPr>
          <w:p w14:paraId="11819441" w14:textId="5FFE64E5" w:rsidR="001B1766" w:rsidRPr="001B1766" w:rsidRDefault="00D83491" w:rsidP="001B1766">
            <w:pPr>
              <w:spacing w:after="0"/>
              <w:rPr>
                <w:b/>
                <w:bCs/>
                <w:sz w:val="24"/>
                <w:szCs w:val="24"/>
              </w:rPr>
            </w:pPr>
            <w:r>
              <w:rPr>
                <w:b/>
                <w:bCs/>
                <w:sz w:val="24"/>
                <w:szCs w:val="24"/>
              </w:rPr>
              <w:t>3</w:t>
            </w:r>
          </w:p>
        </w:tc>
      </w:tr>
      <w:tr w:rsidR="007E7665" w:rsidRPr="001B1766" w14:paraId="4155F8AB" w14:textId="77777777" w:rsidTr="001B1766">
        <w:tc>
          <w:tcPr>
            <w:tcW w:w="951" w:type="dxa"/>
            <w:shd w:val="clear" w:color="auto" w:fill="auto"/>
          </w:tcPr>
          <w:p w14:paraId="1EAD861F" w14:textId="58EC204F" w:rsidR="001B1766" w:rsidRPr="001B1766" w:rsidRDefault="001B1766" w:rsidP="001B1766">
            <w:pPr>
              <w:spacing w:after="0"/>
              <w:rPr>
                <w:b/>
                <w:bCs/>
                <w:sz w:val="24"/>
                <w:szCs w:val="24"/>
              </w:rPr>
            </w:pPr>
            <w:r w:rsidRPr="001B1766">
              <w:rPr>
                <w:b/>
                <w:bCs/>
                <w:sz w:val="24"/>
                <w:szCs w:val="24"/>
              </w:rPr>
              <w:t>5.</w:t>
            </w:r>
          </w:p>
        </w:tc>
        <w:tc>
          <w:tcPr>
            <w:tcW w:w="6517" w:type="dxa"/>
            <w:shd w:val="clear" w:color="auto" w:fill="auto"/>
          </w:tcPr>
          <w:p w14:paraId="01FF12CE" w14:textId="737876D4" w:rsidR="001B1766" w:rsidRPr="001B1766" w:rsidRDefault="00D83491" w:rsidP="001B1766">
            <w:pPr>
              <w:spacing w:after="0"/>
              <w:rPr>
                <w:b/>
                <w:bCs/>
                <w:sz w:val="24"/>
                <w:szCs w:val="24"/>
              </w:rPr>
            </w:pPr>
            <w:r>
              <w:rPr>
                <w:b/>
                <w:bCs/>
                <w:sz w:val="24"/>
                <w:szCs w:val="24"/>
              </w:rPr>
              <w:t>Responsibilities</w:t>
            </w:r>
          </w:p>
        </w:tc>
        <w:tc>
          <w:tcPr>
            <w:tcW w:w="1054" w:type="dxa"/>
            <w:shd w:val="clear" w:color="auto" w:fill="auto"/>
          </w:tcPr>
          <w:p w14:paraId="31811D83" w14:textId="2276A587" w:rsidR="001B1766" w:rsidRPr="001B1766" w:rsidRDefault="00ED766F" w:rsidP="001B1766">
            <w:pPr>
              <w:spacing w:after="0"/>
              <w:rPr>
                <w:b/>
                <w:bCs/>
                <w:sz w:val="24"/>
                <w:szCs w:val="24"/>
              </w:rPr>
            </w:pPr>
            <w:r>
              <w:rPr>
                <w:b/>
                <w:bCs/>
                <w:sz w:val="24"/>
                <w:szCs w:val="24"/>
              </w:rPr>
              <w:t>4</w:t>
            </w:r>
          </w:p>
        </w:tc>
      </w:tr>
      <w:tr w:rsidR="007E7665" w:rsidRPr="001B1766" w14:paraId="0BF647F9" w14:textId="77777777" w:rsidTr="001B1766">
        <w:tc>
          <w:tcPr>
            <w:tcW w:w="951" w:type="dxa"/>
            <w:shd w:val="clear" w:color="auto" w:fill="auto"/>
          </w:tcPr>
          <w:p w14:paraId="1A318CF1" w14:textId="26C7DB8F" w:rsidR="001B1766" w:rsidRPr="001B1766" w:rsidRDefault="001B1766" w:rsidP="001B1766">
            <w:pPr>
              <w:spacing w:after="0"/>
              <w:rPr>
                <w:b/>
                <w:bCs/>
                <w:sz w:val="24"/>
                <w:szCs w:val="24"/>
              </w:rPr>
            </w:pPr>
            <w:r w:rsidRPr="001B1766">
              <w:rPr>
                <w:b/>
                <w:bCs/>
                <w:sz w:val="24"/>
                <w:szCs w:val="24"/>
              </w:rPr>
              <w:t>6.</w:t>
            </w:r>
          </w:p>
        </w:tc>
        <w:tc>
          <w:tcPr>
            <w:tcW w:w="6517" w:type="dxa"/>
            <w:shd w:val="clear" w:color="auto" w:fill="auto"/>
          </w:tcPr>
          <w:p w14:paraId="79F8C4B3" w14:textId="2BE8F11D" w:rsidR="001B1766" w:rsidRPr="001B1766" w:rsidRDefault="00ED766F" w:rsidP="001B1766">
            <w:pPr>
              <w:spacing w:after="0"/>
              <w:rPr>
                <w:b/>
                <w:bCs/>
                <w:sz w:val="24"/>
                <w:szCs w:val="24"/>
              </w:rPr>
            </w:pPr>
            <w:r>
              <w:rPr>
                <w:b/>
                <w:bCs/>
                <w:sz w:val="24"/>
                <w:szCs w:val="24"/>
              </w:rPr>
              <w:t>Hardware devices</w:t>
            </w:r>
          </w:p>
        </w:tc>
        <w:tc>
          <w:tcPr>
            <w:tcW w:w="1054" w:type="dxa"/>
            <w:shd w:val="clear" w:color="auto" w:fill="auto"/>
          </w:tcPr>
          <w:p w14:paraId="579F0E59" w14:textId="2326312C" w:rsidR="001B1766" w:rsidRPr="001B1766" w:rsidRDefault="0081481F" w:rsidP="001B1766">
            <w:pPr>
              <w:spacing w:after="0"/>
              <w:rPr>
                <w:b/>
                <w:bCs/>
                <w:sz w:val="24"/>
                <w:szCs w:val="24"/>
              </w:rPr>
            </w:pPr>
            <w:r>
              <w:rPr>
                <w:b/>
                <w:bCs/>
                <w:sz w:val="24"/>
                <w:szCs w:val="24"/>
              </w:rPr>
              <w:t>4</w:t>
            </w:r>
          </w:p>
        </w:tc>
      </w:tr>
      <w:tr w:rsidR="00442858" w:rsidRPr="001B1766" w14:paraId="41234E27" w14:textId="77777777" w:rsidTr="001B1766">
        <w:tc>
          <w:tcPr>
            <w:tcW w:w="951" w:type="dxa"/>
            <w:shd w:val="clear" w:color="auto" w:fill="auto"/>
          </w:tcPr>
          <w:p w14:paraId="724131B2" w14:textId="1E24CB51" w:rsidR="00442858" w:rsidRPr="001B1766" w:rsidRDefault="00442858" w:rsidP="001B1766">
            <w:pPr>
              <w:spacing w:after="0"/>
              <w:rPr>
                <w:b/>
                <w:bCs/>
                <w:sz w:val="24"/>
                <w:szCs w:val="24"/>
              </w:rPr>
            </w:pPr>
            <w:r>
              <w:rPr>
                <w:b/>
                <w:bCs/>
                <w:sz w:val="24"/>
                <w:szCs w:val="24"/>
              </w:rPr>
              <w:t>7.</w:t>
            </w:r>
          </w:p>
        </w:tc>
        <w:tc>
          <w:tcPr>
            <w:tcW w:w="6517" w:type="dxa"/>
            <w:shd w:val="clear" w:color="auto" w:fill="auto"/>
          </w:tcPr>
          <w:p w14:paraId="4A1C7598" w14:textId="1D47DACC" w:rsidR="00442858" w:rsidRPr="001B1766" w:rsidRDefault="0081481F" w:rsidP="001B1766">
            <w:pPr>
              <w:spacing w:after="0"/>
              <w:rPr>
                <w:b/>
                <w:bCs/>
                <w:sz w:val="24"/>
                <w:szCs w:val="24"/>
              </w:rPr>
            </w:pPr>
            <w:r>
              <w:rPr>
                <w:b/>
                <w:bCs/>
                <w:sz w:val="24"/>
                <w:szCs w:val="24"/>
              </w:rPr>
              <w:t>Security access and control</w:t>
            </w:r>
          </w:p>
        </w:tc>
        <w:tc>
          <w:tcPr>
            <w:tcW w:w="1054" w:type="dxa"/>
            <w:shd w:val="clear" w:color="auto" w:fill="auto"/>
          </w:tcPr>
          <w:p w14:paraId="40D832D8" w14:textId="0B392C65" w:rsidR="00442858" w:rsidRDefault="0081481F" w:rsidP="001B1766">
            <w:pPr>
              <w:spacing w:after="0"/>
              <w:rPr>
                <w:b/>
                <w:bCs/>
                <w:sz w:val="24"/>
                <w:szCs w:val="24"/>
              </w:rPr>
            </w:pPr>
            <w:r>
              <w:rPr>
                <w:b/>
                <w:bCs/>
                <w:sz w:val="24"/>
                <w:szCs w:val="24"/>
              </w:rPr>
              <w:t>4</w:t>
            </w:r>
          </w:p>
        </w:tc>
      </w:tr>
      <w:tr w:rsidR="00442858" w:rsidRPr="001B1766" w14:paraId="20004667" w14:textId="77777777" w:rsidTr="001B1766">
        <w:tc>
          <w:tcPr>
            <w:tcW w:w="951" w:type="dxa"/>
            <w:shd w:val="clear" w:color="auto" w:fill="auto"/>
          </w:tcPr>
          <w:p w14:paraId="57FCEEA5" w14:textId="2F2A74EF" w:rsidR="00442858" w:rsidRDefault="00442858" w:rsidP="001B1766">
            <w:pPr>
              <w:spacing w:after="0"/>
              <w:rPr>
                <w:b/>
                <w:bCs/>
                <w:sz w:val="24"/>
                <w:szCs w:val="24"/>
              </w:rPr>
            </w:pPr>
            <w:r>
              <w:rPr>
                <w:b/>
                <w:bCs/>
                <w:sz w:val="24"/>
                <w:szCs w:val="24"/>
              </w:rPr>
              <w:t>8.</w:t>
            </w:r>
          </w:p>
        </w:tc>
        <w:tc>
          <w:tcPr>
            <w:tcW w:w="6517" w:type="dxa"/>
            <w:shd w:val="clear" w:color="auto" w:fill="auto"/>
          </w:tcPr>
          <w:p w14:paraId="1D5C0789" w14:textId="4410C443" w:rsidR="00442858" w:rsidRPr="001B1766" w:rsidRDefault="0081481F" w:rsidP="001B1766">
            <w:pPr>
              <w:spacing w:after="0"/>
              <w:rPr>
                <w:b/>
                <w:bCs/>
                <w:sz w:val="24"/>
                <w:szCs w:val="24"/>
              </w:rPr>
            </w:pPr>
            <w:r>
              <w:rPr>
                <w:b/>
                <w:bCs/>
                <w:sz w:val="24"/>
                <w:szCs w:val="24"/>
              </w:rPr>
              <w:t>Data storage</w:t>
            </w:r>
          </w:p>
        </w:tc>
        <w:tc>
          <w:tcPr>
            <w:tcW w:w="1054" w:type="dxa"/>
            <w:shd w:val="clear" w:color="auto" w:fill="auto"/>
          </w:tcPr>
          <w:p w14:paraId="6E99DEAB" w14:textId="2B68D624" w:rsidR="00442858" w:rsidRDefault="0081481F" w:rsidP="001B1766">
            <w:pPr>
              <w:spacing w:after="0"/>
              <w:rPr>
                <w:b/>
                <w:bCs/>
                <w:sz w:val="24"/>
                <w:szCs w:val="24"/>
              </w:rPr>
            </w:pPr>
            <w:r>
              <w:rPr>
                <w:b/>
                <w:bCs/>
                <w:sz w:val="24"/>
                <w:szCs w:val="24"/>
              </w:rPr>
              <w:t>5</w:t>
            </w:r>
          </w:p>
        </w:tc>
      </w:tr>
      <w:tr w:rsidR="00442858" w:rsidRPr="001B1766" w14:paraId="5AAEBFAD" w14:textId="77777777" w:rsidTr="001B1766">
        <w:tc>
          <w:tcPr>
            <w:tcW w:w="951" w:type="dxa"/>
            <w:shd w:val="clear" w:color="auto" w:fill="auto"/>
          </w:tcPr>
          <w:p w14:paraId="2D311682" w14:textId="74EB87A9" w:rsidR="00442858" w:rsidRDefault="00442858" w:rsidP="001B1766">
            <w:pPr>
              <w:spacing w:after="0"/>
              <w:rPr>
                <w:b/>
                <w:bCs/>
                <w:sz w:val="24"/>
                <w:szCs w:val="24"/>
              </w:rPr>
            </w:pPr>
            <w:r>
              <w:rPr>
                <w:b/>
                <w:bCs/>
                <w:sz w:val="24"/>
                <w:szCs w:val="24"/>
              </w:rPr>
              <w:t>9.</w:t>
            </w:r>
          </w:p>
        </w:tc>
        <w:tc>
          <w:tcPr>
            <w:tcW w:w="6517" w:type="dxa"/>
            <w:shd w:val="clear" w:color="auto" w:fill="auto"/>
          </w:tcPr>
          <w:p w14:paraId="4F393C23" w14:textId="3757C29D" w:rsidR="00442858" w:rsidRPr="001B1766" w:rsidRDefault="007474BB" w:rsidP="001B1766">
            <w:pPr>
              <w:spacing w:after="0"/>
              <w:rPr>
                <w:b/>
                <w:bCs/>
                <w:sz w:val="24"/>
                <w:szCs w:val="24"/>
              </w:rPr>
            </w:pPr>
            <w:r>
              <w:rPr>
                <w:b/>
                <w:bCs/>
                <w:sz w:val="24"/>
                <w:szCs w:val="24"/>
              </w:rPr>
              <w:t>Emails and malware</w:t>
            </w:r>
          </w:p>
        </w:tc>
        <w:tc>
          <w:tcPr>
            <w:tcW w:w="1054" w:type="dxa"/>
            <w:shd w:val="clear" w:color="auto" w:fill="auto"/>
          </w:tcPr>
          <w:p w14:paraId="61C4EC6B" w14:textId="5390127D" w:rsidR="00442858" w:rsidRDefault="007474BB" w:rsidP="001B1766">
            <w:pPr>
              <w:spacing w:after="0"/>
              <w:rPr>
                <w:b/>
                <w:bCs/>
                <w:sz w:val="24"/>
                <w:szCs w:val="24"/>
              </w:rPr>
            </w:pPr>
            <w:r>
              <w:rPr>
                <w:b/>
                <w:bCs/>
                <w:sz w:val="24"/>
                <w:szCs w:val="24"/>
              </w:rPr>
              <w:t>5</w:t>
            </w:r>
          </w:p>
        </w:tc>
      </w:tr>
      <w:tr w:rsidR="007474BB" w:rsidRPr="001B1766" w14:paraId="7C6DDAD5" w14:textId="77777777" w:rsidTr="001B1766">
        <w:tc>
          <w:tcPr>
            <w:tcW w:w="951" w:type="dxa"/>
            <w:shd w:val="clear" w:color="auto" w:fill="auto"/>
          </w:tcPr>
          <w:p w14:paraId="7243BAB6" w14:textId="078E5D4B" w:rsidR="007474BB" w:rsidRDefault="007474BB" w:rsidP="001B1766">
            <w:pPr>
              <w:spacing w:after="0"/>
              <w:rPr>
                <w:b/>
                <w:bCs/>
                <w:sz w:val="24"/>
                <w:szCs w:val="24"/>
              </w:rPr>
            </w:pPr>
            <w:r>
              <w:rPr>
                <w:b/>
                <w:bCs/>
                <w:sz w:val="24"/>
                <w:szCs w:val="24"/>
              </w:rPr>
              <w:t>10.</w:t>
            </w:r>
          </w:p>
        </w:tc>
        <w:tc>
          <w:tcPr>
            <w:tcW w:w="6517" w:type="dxa"/>
            <w:shd w:val="clear" w:color="auto" w:fill="auto"/>
          </w:tcPr>
          <w:p w14:paraId="2B5EC298" w14:textId="641131A1" w:rsidR="007474BB" w:rsidRDefault="007474BB" w:rsidP="001B1766">
            <w:pPr>
              <w:spacing w:after="0"/>
              <w:rPr>
                <w:b/>
                <w:bCs/>
                <w:sz w:val="24"/>
                <w:szCs w:val="24"/>
              </w:rPr>
            </w:pPr>
            <w:r>
              <w:rPr>
                <w:b/>
                <w:bCs/>
                <w:sz w:val="24"/>
                <w:szCs w:val="24"/>
              </w:rPr>
              <w:t>Personal use</w:t>
            </w:r>
          </w:p>
        </w:tc>
        <w:tc>
          <w:tcPr>
            <w:tcW w:w="1054" w:type="dxa"/>
            <w:shd w:val="clear" w:color="auto" w:fill="auto"/>
          </w:tcPr>
          <w:p w14:paraId="6D5BF90A" w14:textId="48CED67A" w:rsidR="007474BB" w:rsidRDefault="007474BB" w:rsidP="001B1766">
            <w:pPr>
              <w:spacing w:after="0"/>
              <w:rPr>
                <w:b/>
                <w:bCs/>
                <w:sz w:val="24"/>
                <w:szCs w:val="24"/>
              </w:rPr>
            </w:pPr>
            <w:r>
              <w:rPr>
                <w:b/>
                <w:bCs/>
                <w:sz w:val="24"/>
                <w:szCs w:val="24"/>
              </w:rPr>
              <w:t>6</w:t>
            </w:r>
          </w:p>
        </w:tc>
      </w:tr>
      <w:tr w:rsidR="00442858" w:rsidRPr="001B1766" w14:paraId="6AEA23FF" w14:textId="77777777" w:rsidTr="001B1766">
        <w:tc>
          <w:tcPr>
            <w:tcW w:w="951" w:type="dxa"/>
            <w:shd w:val="clear" w:color="auto" w:fill="auto"/>
          </w:tcPr>
          <w:p w14:paraId="619F6612" w14:textId="77777777" w:rsidR="00442858" w:rsidRDefault="00442858" w:rsidP="001B1766">
            <w:pPr>
              <w:spacing w:after="0"/>
              <w:rPr>
                <w:b/>
                <w:bCs/>
                <w:sz w:val="24"/>
                <w:szCs w:val="24"/>
              </w:rPr>
            </w:pPr>
          </w:p>
        </w:tc>
        <w:tc>
          <w:tcPr>
            <w:tcW w:w="6517" w:type="dxa"/>
            <w:shd w:val="clear" w:color="auto" w:fill="auto"/>
          </w:tcPr>
          <w:p w14:paraId="3B1BBA13" w14:textId="2FBE2BB3" w:rsidR="00442858" w:rsidRPr="001B1766" w:rsidRDefault="00442858" w:rsidP="001B1766">
            <w:pPr>
              <w:spacing w:after="0"/>
              <w:rPr>
                <w:b/>
                <w:bCs/>
                <w:sz w:val="24"/>
                <w:szCs w:val="24"/>
              </w:rPr>
            </w:pPr>
            <w:r>
              <w:rPr>
                <w:b/>
                <w:bCs/>
                <w:sz w:val="24"/>
                <w:szCs w:val="24"/>
              </w:rPr>
              <w:t>Policy review</w:t>
            </w:r>
          </w:p>
        </w:tc>
        <w:tc>
          <w:tcPr>
            <w:tcW w:w="1054" w:type="dxa"/>
            <w:shd w:val="clear" w:color="auto" w:fill="auto"/>
          </w:tcPr>
          <w:p w14:paraId="31BE41AC" w14:textId="4206E58F" w:rsidR="00442858" w:rsidRDefault="007474BB" w:rsidP="001B1766">
            <w:pPr>
              <w:spacing w:after="0"/>
              <w:rPr>
                <w:b/>
                <w:bCs/>
                <w:sz w:val="24"/>
                <w:szCs w:val="24"/>
              </w:rPr>
            </w:pPr>
            <w:r>
              <w:rPr>
                <w:b/>
                <w:bCs/>
                <w:sz w:val="24"/>
                <w:szCs w:val="24"/>
              </w:rPr>
              <w:t>6</w:t>
            </w:r>
          </w:p>
        </w:tc>
      </w:tr>
    </w:tbl>
    <w:p w14:paraId="48456655" w14:textId="287705FD" w:rsidR="00430977" w:rsidRPr="00F72955" w:rsidRDefault="00430977" w:rsidP="007E7665">
      <w:pPr>
        <w:suppressAutoHyphens/>
        <w:autoSpaceDN w:val="0"/>
        <w:spacing w:after="0" w:line="240" w:lineRule="auto"/>
        <w:textAlignment w:val="baseline"/>
        <w:rPr>
          <w:sz w:val="24"/>
          <w:szCs w:val="24"/>
        </w:rPr>
      </w:pPr>
    </w:p>
    <w:p w14:paraId="29739CA1" w14:textId="77777777" w:rsidR="00430977" w:rsidRPr="00F72955" w:rsidRDefault="00430977" w:rsidP="00430977">
      <w:pPr>
        <w:spacing w:after="0"/>
        <w:rPr>
          <w:sz w:val="24"/>
          <w:szCs w:val="24"/>
        </w:rPr>
      </w:pPr>
    </w:p>
    <w:p w14:paraId="518AA833" w14:textId="77777777" w:rsidR="00442858" w:rsidRDefault="00442858" w:rsidP="007E7665">
      <w:pPr>
        <w:spacing w:after="0"/>
        <w:rPr>
          <w:b/>
          <w:bCs/>
          <w:sz w:val="24"/>
          <w:szCs w:val="24"/>
        </w:rPr>
      </w:pPr>
    </w:p>
    <w:p w14:paraId="3C036955" w14:textId="77777777" w:rsidR="00442858" w:rsidRDefault="00442858" w:rsidP="007E7665">
      <w:pPr>
        <w:spacing w:after="0"/>
        <w:rPr>
          <w:b/>
          <w:bCs/>
          <w:sz w:val="24"/>
          <w:szCs w:val="24"/>
        </w:rPr>
      </w:pPr>
    </w:p>
    <w:p w14:paraId="3A1E1130" w14:textId="77777777" w:rsidR="00442858" w:rsidRDefault="00442858" w:rsidP="007E7665">
      <w:pPr>
        <w:spacing w:after="0"/>
        <w:rPr>
          <w:b/>
          <w:bCs/>
          <w:sz w:val="24"/>
          <w:szCs w:val="24"/>
        </w:rPr>
      </w:pPr>
    </w:p>
    <w:p w14:paraId="7D955D4B" w14:textId="68AB65A8" w:rsidR="00430977" w:rsidRDefault="00430977" w:rsidP="007E7665">
      <w:pPr>
        <w:suppressAutoHyphens/>
        <w:autoSpaceDN w:val="0"/>
        <w:spacing w:after="0" w:line="240" w:lineRule="auto"/>
        <w:textAlignment w:val="baseline"/>
        <w:rPr>
          <w:b/>
          <w:bCs/>
          <w:sz w:val="24"/>
          <w:szCs w:val="24"/>
        </w:rPr>
      </w:pPr>
    </w:p>
    <w:p w14:paraId="1267CAC1" w14:textId="77777777" w:rsidR="007E7665" w:rsidRPr="00A5331A" w:rsidRDefault="007E7665" w:rsidP="00D26A9F">
      <w:pPr>
        <w:suppressAutoHyphens/>
        <w:autoSpaceDN w:val="0"/>
        <w:spacing w:after="0" w:line="240" w:lineRule="auto"/>
        <w:textAlignment w:val="baseline"/>
        <w:rPr>
          <w:sz w:val="24"/>
          <w:szCs w:val="24"/>
        </w:rPr>
      </w:pPr>
    </w:p>
    <w:p w14:paraId="6628F510" w14:textId="77777777" w:rsidR="00430977" w:rsidRDefault="00430977" w:rsidP="00430977">
      <w:pPr>
        <w:spacing w:after="0"/>
        <w:ind w:left="720" w:firstLine="720"/>
        <w:rPr>
          <w:b/>
          <w:bCs/>
          <w:sz w:val="24"/>
          <w:szCs w:val="24"/>
        </w:rPr>
      </w:pPr>
    </w:p>
    <w:p w14:paraId="4C4E5987" w14:textId="77777777" w:rsidR="00A016DC" w:rsidRDefault="00A016DC" w:rsidP="00A016DC">
      <w:pPr>
        <w:rPr>
          <w:b/>
          <w:bCs/>
          <w:sz w:val="24"/>
          <w:szCs w:val="24"/>
        </w:rPr>
      </w:pPr>
    </w:p>
    <w:p w14:paraId="74CD6D67" w14:textId="77777777" w:rsidR="00A016DC" w:rsidRDefault="00A016DC" w:rsidP="00A016DC">
      <w:pPr>
        <w:rPr>
          <w:b/>
          <w:bCs/>
          <w:sz w:val="24"/>
          <w:szCs w:val="24"/>
        </w:rPr>
      </w:pPr>
    </w:p>
    <w:p w14:paraId="07EAEEB3" w14:textId="77777777" w:rsidR="00A016DC" w:rsidRDefault="00A016DC" w:rsidP="00A016DC">
      <w:pPr>
        <w:rPr>
          <w:b/>
          <w:bCs/>
          <w:sz w:val="24"/>
          <w:szCs w:val="24"/>
        </w:rPr>
      </w:pPr>
    </w:p>
    <w:p w14:paraId="5AD3FA41" w14:textId="77777777" w:rsidR="008E2968" w:rsidRDefault="008E2968" w:rsidP="00A016DC">
      <w:pPr>
        <w:rPr>
          <w:b/>
          <w:bCs/>
          <w:sz w:val="24"/>
          <w:szCs w:val="24"/>
        </w:rPr>
      </w:pPr>
    </w:p>
    <w:p w14:paraId="1134766B" w14:textId="77777777" w:rsidR="008E2968" w:rsidRDefault="008E2968" w:rsidP="00A016DC">
      <w:pPr>
        <w:rPr>
          <w:b/>
          <w:bCs/>
          <w:sz w:val="24"/>
          <w:szCs w:val="24"/>
        </w:rPr>
      </w:pPr>
    </w:p>
    <w:p w14:paraId="24AFA271" w14:textId="77777777" w:rsidR="008E2968" w:rsidRDefault="008E2968" w:rsidP="00A016DC">
      <w:pPr>
        <w:rPr>
          <w:b/>
          <w:bCs/>
          <w:sz w:val="24"/>
          <w:szCs w:val="24"/>
        </w:rPr>
      </w:pPr>
    </w:p>
    <w:p w14:paraId="00F78C0A" w14:textId="77777777" w:rsidR="008E2968" w:rsidRDefault="008E2968" w:rsidP="00A016DC">
      <w:pPr>
        <w:rPr>
          <w:b/>
          <w:bCs/>
          <w:sz w:val="24"/>
          <w:szCs w:val="24"/>
        </w:rPr>
      </w:pPr>
    </w:p>
    <w:p w14:paraId="33C41DF2" w14:textId="77777777" w:rsidR="008E2968" w:rsidRDefault="008E2968" w:rsidP="00A016DC">
      <w:pPr>
        <w:rPr>
          <w:b/>
          <w:bCs/>
          <w:sz w:val="24"/>
          <w:szCs w:val="24"/>
        </w:rPr>
      </w:pPr>
    </w:p>
    <w:p w14:paraId="05BD9D3E" w14:textId="77777777" w:rsidR="008E2968" w:rsidRDefault="008E2968" w:rsidP="00A016DC">
      <w:pPr>
        <w:rPr>
          <w:b/>
          <w:bCs/>
          <w:sz w:val="24"/>
          <w:szCs w:val="24"/>
        </w:rPr>
      </w:pPr>
    </w:p>
    <w:p w14:paraId="564607B6" w14:textId="77777777" w:rsidR="008E2968" w:rsidRDefault="008E2968" w:rsidP="00A016DC">
      <w:pPr>
        <w:rPr>
          <w:b/>
          <w:bCs/>
          <w:sz w:val="24"/>
          <w:szCs w:val="24"/>
        </w:rPr>
      </w:pPr>
    </w:p>
    <w:p w14:paraId="5D798657" w14:textId="34334ACA" w:rsidR="00D26A9F" w:rsidRDefault="00D26A9F" w:rsidP="00A016DC">
      <w:pPr>
        <w:rPr>
          <w:b/>
          <w:bCs/>
          <w:sz w:val="24"/>
          <w:szCs w:val="24"/>
        </w:rPr>
      </w:pPr>
    </w:p>
    <w:p w14:paraId="2EC8E50D" w14:textId="77777777" w:rsidR="001A3A7B" w:rsidRDefault="001A3A7B" w:rsidP="00A016DC">
      <w:pPr>
        <w:rPr>
          <w:b/>
          <w:bCs/>
          <w:sz w:val="24"/>
          <w:szCs w:val="24"/>
        </w:rPr>
      </w:pPr>
    </w:p>
    <w:p w14:paraId="07F9D4A1" w14:textId="35D661E7" w:rsidR="008E2968" w:rsidRDefault="00D26A9F" w:rsidP="00E241A8">
      <w:pPr>
        <w:numPr>
          <w:ilvl w:val="0"/>
          <w:numId w:val="6"/>
        </w:numPr>
        <w:rPr>
          <w:b/>
          <w:bCs/>
          <w:sz w:val="28"/>
          <w:szCs w:val="28"/>
        </w:rPr>
      </w:pPr>
      <w:r>
        <w:rPr>
          <w:b/>
          <w:bCs/>
          <w:sz w:val="28"/>
          <w:szCs w:val="28"/>
        </w:rPr>
        <w:t>The Policy</w:t>
      </w:r>
    </w:p>
    <w:p w14:paraId="72125BDC" w14:textId="6F0CE9D9" w:rsidR="00D26A9F" w:rsidRPr="00C165BA" w:rsidRDefault="00D26A9F" w:rsidP="00D26A9F">
      <w:pPr>
        <w:pStyle w:val="XRL1Txt"/>
        <w:spacing w:before="120"/>
        <w:ind w:left="360"/>
        <w:rPr>
          <w:rFonts w:ascii="Calibri" w:hAnsi="Calibri" w:cs="Calibri"/>
          <w:color w:val="000000"/>
          <w:sz w:val="24"/>
          <w:szCs w:val="24"/>
        </w:rPr>
      </w:pPr>
      <w:r w:rsidRPr="00C165BA">
        <w:rPr>
          <w:rFonts w:ascii="Calibri" w:hAnsi="Calibri" w:cs="Calibri"/>
          <w:color w:val="000000"/>
          <w:sz w:val="24"/>
          <w:szCs w:val="24"/>
        </w:rPr>
        <w:t>This policy is not part of the employees’ contractual term and conditions and as such changes may be made without consultation.</w:t>
      </w:r>
    </w:p>
    <w:p w14:paraId="5D7425D6" w14:textId="77777777" w:rsidR="00D26A9F" w:rsidRPr="00C165BA" w:rsidRDefault="00D26A9F" w:rsidP="00D26A9F">
      <w:pPr>
        <w:pStyle w:val="XRL1Txt"/>
        <w:spacing w:before="120"/>
        <w:ind w:left="360"/>
        <w:rPr>
          <w:rFonts w:ascii="Calibri" w:hAnsi="Calibri" w:cs="Calibri"/>
          <w:color w:val="000000"/>
          <w:sz w:val="24"/>
          <w:szCs w:val="24"/>
        </w:rPr>
      </w:pPr>
    </w:p>
    <w:p w14:paraId="7C76BBDF" w14:textId="036660C9" w:rsidR="00D26A9F" w:rsidRPr="00C165BA" w:rsidRDefault="00D26A9F" w:rsidP="00D26A9F">
      <w:pPr>
        <w:ind w:left="360"/>
        <w:rPr>
          <w:rFonts w:cs="Calibri"/>
          <w:color w:val="000000"/>
          <w:sz w:val="24"/>
          <w:szCs w:val="24"/>
        </w:rPr>
      </w:pPr>
      <w:r w:rsidRPr="00C165BA">
        <w:rPr>
          <w:rFonts w:cs="Calibri"/>
          <w:color w:val="000000"/>
          <w:sz w:val="24"/>
          <w:szCs w:val="24"/>
        </w:rPr>
        <w:t xml:space="preserve">All those who have been granted access to use the Information and Communication Technology (ICT) Systems &amp; Services provided by the Wheelchair Alliance are subject to this policy. It applies to use on any device that is owned by the Wheelchair Alliance or that is connected to any of the Alliance’s networks or systems, no matter whether used while working from home or remotely anywhere in the world. </w:t>
      </w:r>
    </w:p>
    <w:p w14:paraId="6855B146" w14:textId="77777777" w:rsidR="001B1766" w:rsidRPr="001B1766" w:rsidRDefault="001B1766" w:rsidP="00A016DC">
      <w:pPr>
        <w:rPr>
          <w:b/>
          <w:bCs/>
          <w:sz w:val="24"/>
          <w:szCs w:val="24"/>
        </w:rPr>
      </w:pPr>
    </w:p>
    <w:p w14:paraId="191CC8C9" w14:textId="226207F3" w:rsidR="00D26A9F" w:rsidRPr="0081481F" w:rsidRDefault="00D26A9F" w:rsidP="0081481F">
      <w:pPr>
        <w:numPr>
          <w:ilvl w:val="0"/>
          <w:numId w:val="6"/>
        </w:numPr>
        <w:rPr>
          <w:b/>
          <w:bCs/>
          <w:sz w:val="28"/>
          <w:szCs w:val="28"/>
        </w:rPr>
      </w:pPr>
      <w:r>
        <w:rPr>
          <w:b/>
          <w:bCs/>
          <w:sz w:val="28"/>
          <w:szCs w:val="28"/>
        </w:rPr>
        <w:t>Purpose</w:t>
      </w:r>
    </w:p>
    <w:p w14:paraId="3E704EFA" w14:textId="77777777" w:rsidR="00D26A9F" w:rsidRPr="00C165BA" w:rsidRDefault="00D26A9F" w:rsidP="00D26A9F">
      <w:pPr>
        <w:pStyle w:val="BodyTextIndent"/>
        <w:spacing w:before="120" w:after="0"/>
        <w:ind w:left="567"/>
        <w:rPr>
          <w:rFonts w:ascii="Calibri" w:hAnsi="Calibri" w:cs="Calibri"/>
          <w:color w:val="000000"/>
          <w:sz w:val="24"/>
          <w:szCs w:val="24"/>
        </w:rPr>
      </w:pPr>
      <w:r w:rsidRPr="00C165BA">
        <w:rPr>
          <w:rFonts w:ascii="Calibri" w:hAnsi="Calibri" w:cs="Calibri"/>
          <w:color w:val="000000"/>
          <w:sz w:val="24"/>
          <w:szCs w:val="24"/>
        </w:rPr>
        <w:t>This policy:</w:t>
      </w:r>
    </w:p>
    <w:p w14:paraId="75929F3B" w14:textId="1447A27C" w:rsidR="00D26A9F" w:rsidRPr="00C165BA" w:rsidRDefault="00D26A9F" w:rsidP="00D26A9F">
      <w:pPr>
        <w:pStyle w:val="BodyTextIndent"/>
        <w:numPr>
          <w:ilvl w:val="0"/>
          <w:numId w:val="12"/>
        </w:numPr>
        <w:spacing w:before="120" w:after="0"/>
        <w:ind w:left="1281" w:hanging="357"/>
        <w:contextualSpacing/>
        <w:rPr>
          <w:rFonts w:ascii="Calibri" w:hAnsi="Calibri" w:cs="Calibri"/>
          <w:color w:val="000000"/>
          <w:sz w:val="24"/>
          <w:szCs w:val="24"/>
        </w:rPr>
      </w:pPr>
      <w:r w:rsidRPr="00C165BA">
        <w:rPr>
          <w:rFonts w:ascii="Calibri" w:hAnsi="Calibri" w:cs="Calibri"/>
          <w:color w:val="000000"/>
          <w:sz w:val="24"/>
          <w:szCs w:val="24"/>
        </w:rPr>
        <w:t xml:space="preserve">Protects the Alliance’s ICT Systems &amp; Services from security </w:t>
      </w:r>
      <w:proofErr w:type="gramStart"/>
      <w:r w:rsidRPr="00C165BA">
        <w:rPr>
          <w:rFonts w:ascii="Calibri" w:hAnsi="Calibri" w:cs="Calibri"/>
          <w:color w:val="000000"/>
          <w:sz w:val="24"/>
          <w:szCs w:val="24"/>
        </w:rPr>
        <w:t>risks;</w:t>
      </w:r>
      <w:proofErr w:type="gramEnd"/>
    </w:p>
    <w:p w14:paraId="14F383DC" w14:textId="77777777" w:rsidR="00D26A9F" w:rsidRPr="00C165BA" w:rsidRDefault="00D26A9F" w:rsidP="00D26A9F">
      <w:pPr>
        <w:pStyle w:val="BodyTextIndent"/>
        <w:numPr>
          <w:ilvl w:val="0"/>
          <w:numId w:val="12"/>
        </w:numPr>
        <w:spacing w:before="120" w:after="0"/>
        <w:ind w:left="1281" w:hanging="357"/>
        <w:contextualSpacing/>
        <w:rPr>
          <w:rFonts w:ascii="Calibri" w:hAnsi="Calibri" w:cs="Calibri"/>
          <w:color w:val="000000"/>
          <w:sz w:val="24"/>
          <w:szCs w:val="24"/>
        </w:rPr>
      </w:pPr>
      <w:r w:rsidRPr="00C165BA">
        <w:rPr>
          <w:rFonts w:ascii="Calibri" w:hAnsi="Calibri" w:cs="Calibri"/>
          <w:color w:val="000000"/>
          <w:sz w:val="24"/>
          <w:szCs w:val="24"/>
        </w:rPr>
        <w:t xml:space="preserve">Ensures users are clear about what they can and cannot </w:t>
      </w:r>
      <w:proofErr w:type="gramStart"/>
      <w:r w:rsidRPr="00C165BA">
        <w:rPr>
          <w:rFonts w:ascii="Calibri" w:hAnsi="Calibri" w:cs="Calibri"/>
          <w:color w:val="000000"/>
          <w:sz w:val="24"/>
          <w:szCs w:val="24"/>
        </w:rPr>
        <w:t>do;</w:t>
      </w:r>
      <w:proofErr w:type="gramEnd"/>
    </w:p>
    <w:p w14:paraId="5D165846" w14:textId="6AAAF36F" w:rsidR="00D26A9F" w:rsidRPr="00C165BA" w:rsidRDefault="00D26A9F" w:rsidP="00D26A9F">
      <w:pPr>
        <w:pStyle w:val="BodyTextIndent"/>
        <w:numPr>
          <w:ilvl w:val="0"/>
          <w:numId w:val="12"/>
        </w:numPr>
        <w:spacing w:before="120" w:after="0"/>
        <w:ind w:left="1281" w:hanging="357"/>
        <w:contextualSpacing/>
        <w:rPr>
          <w:rFonts w:ascii="Calibri" w:hAnsi="Calibri" w:cs="Calibri"/>
          <w:color w:val="000000"/>
          <w:sz w:val="24"/>
          <w:szCs w:val="24"/>
        </w:rPr>
      </w:pPr>
      <w:r w:rsidRPr="00C165BA">
        <w:rPr>
          <w:rFonts w:ascii="Calibri" w:hAnsi="Calibri" w:cs="Calibri"/>
          <w:color w:val="000000"/>
          <w:sz w:val="24"/>
          <w:szCs w:val="24"/>
        </w:rPr>
        <w:t>Helps the A</w:t>
      </w:r>
      <w:r w:rsidR="00D83491" w:rsidRPr="00C165BA">
        <w:rPr>
          <w:rFonts w:ascii="Calibri" w:hAnsi="Calibri" w:cs="Calibri"/>
          <w:color w:val="000000"/>
          <w:sz w:val="24"/>
          <w:szCs w:val="24"/>
        </w:rPr>
        <w:t>lliance</w:t>
      </w:r>
      <w:r w:rsidRPr="00C165BA">
        <w:rPr>
          <w:rFonts w:ascii="Calibri" w:hAnsi="Calibri" w:cs="Calibri"/>
          <w:color w:val="000000"/>
          <w:sz w:val="24"/>
          <w:szCs w:val="24"/>
        </w:rPr>
        <w:t xml:space="preserve"> satisfy its legal obligations.</w:t>
      </w:r>
    </w:p>
    <w:p w14:paraId="733F70FE" w14:textId="77777777" w:rsidR="009A6343" w:rsidRPr="00F40505" w:rsidRDefault="009A6343" w:rsidP="00A016DC">
      <w:pPr>
        <w:rPr>
          <w:sz w:val="24"/>
          <w:szCs w:val="24"/>
        </w:rPr>
      </w:pPr>
    </w:p>
    <w:p w14:paraId="0674438B" w14:textId="25D0E6E5" w:rsidR="00437D6E" w:rsidRDefault="00D83491" w:rsidP="009A6343">
      <w:pPr>
        <w:numPr>
          <w:ilvl w:val="0"/>
          <w:numId w:val="6"/>
        </w:numPr>
        <w:rPr>
          <w:b/>
          <w:bCs/>
          <w:sz w:val="28"/>
          <w:szCs w:val="28"/>
        </w:rPr>
      </w:pPr>
      <w:r>
        <w:rPr>
          <w:b/>
          <w:bCs/>
          <w:sz w:val="28"/>
          <w:szCs w:val="28"/>
        </w:rPr>
        <w:t>Definitions</w:t>
      </w:r>
    </w:p>
    <w:p w14:paraId="7D2C3EB1" w14:textId="458E27BF" w:rsidR="00D83491" w:rsidRPr="00C165BA" w:rsidRDefault="00D83491" w:rsidP="00D83491">
      <w:pPr>
        <w:pStyle w:val="BodyTextIndent"/>
        <w:spacing w:before="120" w:after="0"/>
        <w:ind w:left="720"/>
        <w:rPr>
          <w:rFonts w:ascii="Calibri" w:hAnsi="Calibri" w:cs="Calibri"/>
          <w:color w:val="000000"/>
          <w:sz w:val="24"/>
          <w:szCs w:val="24"/>
        </w:rPr>
      </w:pPr>
      <w:r w:rsidRPr="00C165BA">
        <w:rPr>
          <w:rFonts w:ascii="Calibri" w:hAnsi="Calibri" w:cs="Calibri"/>
          <w:color w:val="000000"/>
          <w:sz w:val="24"/>
          <w:szCs w:val="24"/>
        </w:rPr>
        <w:t>A ‘user’ is defined as a member of staff, contractor or volunteer who has been granted access to use the ICT Systems &amp; Services provided by the Alliance.</w:t>
      </w:r>
    </w:p>
    <w:p w14:paraId="5AEC30CC" w14:textId="1B8007F1" w:rsidR="009A6343" w:rsidRPr="00C165BA" w:rsidRDefault="00D83491" w:rsidP="00D83491">
      <w:pPr>
        <w:pStyle w:val="BodyTextIndent"/>
        <w:spacing w:before="120" w:after="0"/>
        <w:ind w:left="720"/>
        <w:rPr>
          <w:rFonts w:ascii="Calibri" w:hAnsi="Calibri" w:cs="Calibri"/>
          <w:color w:val="000000"/>
          <w:sz w:val="24"/>
          <w:szCs w:val="24"/>
        </w:rPr>
      </w:pPr>
      <w:r w:rsidRPr="00C165BA">
        <w:rPr>
          <w:rFonts w:ascii="Calibri" w:hAnsi="Calibri" w:cs="Calibri"/>
          <w:color w:val="000000"/>
          <w:sz w:val="24"/>
          <w:szCs w:val="24"/>
        </w:rPr>
        <w:t>‘ICT Systems &amp; Services’ are defined as the hardware, software, applications and digital services provided by the Alliance. This includes any software delivered as a service and Cloud services, including websites, supplied by third parties on behalf of the Alliance.</w:t>
      </w:r>
    </w:p>
    <w:p w14:paraId="0FEC1F29" w14:textId="7D2413B2" w:rsidR="00E95150" w:rsidRDefault="00E95150" w:rsidP="00E95150">
      <w:pPr>
        <w:rPr>
          <w:b/>
          <w:bCs/>
          <w:sz w:val="24"/>
          <w:szCs w:val="24"/>
        </w:rPr>
      </w:pPr>
    </w:p>
    <w:p w14:paraId="1213EE29" w14:textId="41BE9102" w:rsidR="00D83491" w:rsidRPr="00D83491" w:rsidRDefault="003D4D8F" w:rsidP="00D83491">
      <w:pPr>
        <w:numPr>
          <w:ilvl w:val="0"/>
          <w:numId w:val="6"/>
        </w:numPr>
        <w:rPr>
          <w:b/>
          <w:bCs/>
          <w:sz w:val="28"/>
          <w:szCs w:val="28"/>
        </w:rPr>
      </w:pPr>
      <w:r w:rsidRPr="003D4D8F">
        <w:rPr>
          <w:b/>
          <w:bCs/>
          <w:sz w:val="28"/>
          <w:szCs w:val="28"/>
        </w:rPr>
        <w:t>Pr</w:t>
      </w:r>
      <w:r w:rsidR="00D83491">
        <w:rPr>
          <w:b/>
          <w:bCs/>
          <w:sz w:val="28"/>
          <w:szCs w:val="28"/>
        </w:rPr>
        <w:t>inciples</w:t>
      </w:r>
    </w:p>
    <w:p w14:paraId="6747E4A7" w14:textId="1746260C" w:rsidR="00D83491" w:rsidRPr="00C165BA" w:rsidRDefault="00D83491" w:rsidP="00D83491">
      <w:pPr>
        <w:spacing w:before="120"/>
        <w:ind w:left="567"/>
        <w:rPr>
          <w:rFonts w:cs="Calibri"/>
          <w:sz w:val="24"/>
          <w:szCs w:val="24"/>
        </w:rPr>
      </w:pPr>
      <w:r w:rsidRPr="00C165BA">
        <w:rPr>
          <w:rFonts w:cs="Calibri"/>
          <w:sz w:val="24"/>
          <w:szCs w:val="24"/>
        </w:rPr>
        <w:t>The Alliance recognises that ICT is an integral part of the way we work and encourages the active use of ICT Systems &amp; Services to further our strategic aims and objectives.</w:t>
      </w:r>
    </w:p>
    <w:p w14:paraId="4C1BD15B" w14:textId="3B4CEAA9" w:rsidR="00D83491" w:rsidRPr="00C165BA" w:rsidRDefault="00D83491" w:rsidP="00D83491">
      <w:pPr>
        <w:spacing w:before="120"/>
        <w:ind w:left="567"/>
        <w:rPr>
          <w:rFonts w:cs="Calibri"/>
          <w:sz w:val="24"/>
          <w:szCs w:val="24"/>
        </w:rPr>
      </w:pPr>
      <w:r w:rsidRPr="00C165BA">
        <w:rPr>
          <w:rFonts w:cs="Calibri"/>
          <w:sz w:val="24"/>
          <w:szCs w:val="24"/>
        </w:rPr>
        <w:t>ICT Systems &amp; Services are provided primarily for business use, although occasional personal use is permitted as per section 11. Any ICT equipment provided, along with the data stored on ICT Systems &amp; Services, remains the property of the Alliance.</w:t>
      </w:r>
    </w:p>
    <w:p w14:paraId="623B5F1B" w14:textId="2639EF49" w:rsidR="00D83491" w:rsidRPr="00C165BA" w:rsidRDefault="00D83491" w:rsidP="00D83491">
      <w:pPr>
        <w:spacing w:before="120"/>
        <w:ind w:left="567"/>
        <w:rPr>
          <w:rFonts w:cs="Calibri"/>
          <w:sz w:val="24"/>
          <w:szCs w:val="24"/>
        </w:rPr>
      </w:pPr>
      <w:r w:rsidRPr="00C165BA">
        <w:rPr>
          <w:rFonts w:cs="Calibri"/>
          <w:sz w:val="24"/>
          <w:szCs w:val="24"/>
        </w:rPr>
        <w:t>The Alliance reserves the right to:</w:t>
      </w:r>
    </w:p>
    <w:p w14:paraId="1ABC80DA" w14:textId="77777777" w:rsidR="00D83491" w:rsidRPr="00C165BA" w:rsidRDefault="00D83491" w:rsidP="00D83491">
      <w:pPr>
        <w:pStyle w:val="ListParagraph"/>
        <w:numPr>
          <w:ilvl w:val="0"/>
          <w:numId w:val="13"/>
        </w:numPr>
        <w:ind w:left="1434" w:hanging="357"/>
        <w:rPr>
          <w:rFonts w:ascii="Calibri" w:hAnsi="Calibri" w:cs="Calibri"/>
          <w:sz w:val="24"/>
          <w:szCs w:val="24"/>
        </w:rPr>
      </w:pPr>
      <w:r w:rsidRPr="00C165BA">
        <w:rPr>
          <w:rFonts w:ascii="Calibri" w:hAnsi="Calibri" w:cs="Calibri"/>
          <w:sz w:val="24"/>
          <w:szCs w:val="24"/>
        </w:rPr>
        <w:t xml:space="preserve">Monitor and log use and access to equipment and ICT Systems &amp; Services provided, including internet usage; </w:t>
      </w:r>
    </w:p>
    <w:p w14:paraId="4CA7F034" w14:textId="77777777" w:rsidR="00D83491" w:rsidRPr="00C165BA" w:rsidRDefault="00D83491" w:rsidP="00D83491">
      <w:pPr>
        <w:pStyle w:val="ListParagraph"/>
        <w:numPr>
          <w:ilvl w:val="0"/>
          <w:numId w:val="13"/>
        </w:numPr>
        <w:ind w:left="1434" w:hanging="357"/>
        <w:rPr>
          <w:rFonts w:ascii="Calibri" w:hAnsi="Calibri" w:cs="Calibri"/>
          <w:sz w:val="24"/>
          <w:szCs w:val="24"/>
        </w:rPr>
      </w:pPr>
      <w:r w:rsidRPr="00C165BA">
        <w:rPr>
          <w:rFonts w:ascii="Calibri" w:hAnsi="Calibri" w:cs="Calibri"/>
          <w:sz w:val="24"/>
          <w:szCs w:val="24"/>
        </w:rPr>
        <w:t>Access, review, copy or delete any files, data, documents, messages or systems;</w:t>
      </w:r>
    </w:p>
    <w:p w14:paraId="61B6DFE4" w14:textId="77777777" w:rsidR="00D83491" w:rsidRPr="00C165BA" w:rsidRDefault="00D83491" w:rsidP="00D83491">
      <w:pPr>
        <w:pStyle w:val="ListParagraph"/>
        <w:numPr>
          <w:ilvl w:val="0"/>
          <w:numId w:val="13"/>
        </w:numPr>
        <w:ind w:left="1434" w:hanging="357"/>
        <w:rPr>
          <w:rFonts w:ascii="Calibri" w:hAnsi="Calibri" w:cs="Calibri"/>
          <w:sz w:val="24"/>
          <w:szCs w:val="24"/>
        </w:rPr>
      </w:pPr>
      <w:r w:rsidRPr="00C165BA">
        <w:rPr>
          <w:rFonts w:ascii="Calibri" w:hAnsi="Calibri" w:cs="Calibri"/>
          <w:sz w:val="24"/>
          <w:szCs w:val="24"/>
        </w:rPr>
        <w:t>Disclose the above to the police or other regulatory bodies, if requested;</w:t>
      </w:r>
    </w:p>
    <w:p w14:paraId="3FB82856" w14:textId="116B6495" w:rsidR="00D83491" w:rsidRPr="00C165BA" w:rsidRDefault="00D83491" w:rsidP="00D83491">
      <w:pPr>
        <w:pStyle w:val="ListParagraph"/>
        <w:numPr>
          <w:ilvl w:val="0"/>
          <w:numId w:val="13"/>
        </w:numPr>
        <w:ind w:left="1434" w:hanging="357"/>
        <w:rPr>
          <w:rFonts w:ascii="Calibri" w:hAnsi="Calibri" w:cs="Calibri"/>
          <w:sz w:val="24"/>
          <w:szCs w:val="24"/>
        </w:rPr>
      </w:pPr>
      <w:r w:rsidRPr="00C165BA">
        <w:rPr>
          <w:rFonts w:ascii="Calibri" w:hAnsi="Calibri" w:cs="Calibri"/>
          <w:sz w:val="24"/>
          <w:szCs w:val="24"/>
        </w:rPr>
        <w:t>Remove unauthorised software installed on Alliance devices;</w:t>
      </w:r>
    </w:p>
    <w:p w14:paraId="16F04469" w14:textId="77777777" w:rsidR="00D83491" w:rsidRPr="00C165BA" w:rsidRDefault="00D83491" w:rsidP="00D83491">
      <w:pPr>
        <w:pStyle w:val="ListParagraph"/>
        <w:numPr>
          <w:ilvl w:val="0"/>
          <w:numId w:val="13"/>
        </w:numPr>
        <w:ind w:left="1434" w:hanging="357"/>
        <w:rPr>
          <w:rFonts w:ascii="Calibri" w:hAnsi="Calibri" w:cs="Calibri"/>
          <w:sz w:val="24"/>
          <w:szCs w:val="24"/>
        </w:rPr>
      </w:pPr>
      <w:r w:rsidRPr="00C165BA">
        <w:rPr>
          <w:rFonts w:ascii="Calibri" w:hAnsi="Calibri" w:cs="Calibri"/>
          <w:sz w:val="24"/>
          <w:szCs w:val="24"/>
        </w:rPr>
        <w:t xml:space="preserve">Manage ICT Systems &amp; Services on personal </w:t>
      </w:r>
      <w:proofErr w:type="gramStart"/>
      <w:r w:rsidRPr="00C165BA">
        <w:rPr>
          <w:rFonts w:ascii="Calibri" w:hAnsi="Calibri" w:cs="Calibri"/>
          <w:sz w:val="24"/>
          <w:szCs w:val="24"/>
        </w:rPr>
        <w:t>devices;</w:t>
      </w:r>
      <w:proofErr w:type="gramEnd"/>
    </w:p>
    <w:p w14:paraId="1A7D2978" w14:textId="77777777" w:rsidR="00D83491" w:rsidRPr="00C165BA" w:rsidRDefault="00D83491" w:rsidP="00D83491">
      <w:pPr>
        <w:pStyle w:val="ListParagraph"/>
        <w:numPr>
          <w:ilvl w:val="0"/>
          <w:numId w:val="13"/>
        </w:numPr>
        <w:ind w:left="1434" w:hanging="357"/>
        <w:rPr>
          <w:rFonts w:ascii="Calibri" w:hAnsi="Calibri" w:cs="Calibri"/>
          <w:sz w:val="24"/>
          <w:szCs w:val="24"/>
        </w:rPr>
      </w:pPr>
      <w:r w:rsidRPr="00C165BA">
        <w:rPr>
          <w:rFonts w:ascii="Calibri" w:hAnsi="Calibri" w:cs="Calibri"/>
          <w:sz w:val="24"/>
          <w:szCs w:val="24"/>
        </w:rPr>
        <w:t>Restrict or withdraw access to ICT Systems &amp; Services.</w:t>
      </w:r>
    </w:p>
    <w:p w14:paraId="4BF8E511" w14:textId="66E02BE6" w:rsidR="00B71B33" w:rsidRPr="00C165BA" w:rsidRDefault="00D83491" w:rsidP="00D83491">
      <w:pPr>
        <w:spacing w:before="120"/>
        <w:ind w:left="567"/>
        <w:rPr>
          <w:rFonts w:cs="Calibri"/>
          <w:sz w:val="24"/>
          <w:szCs w:val="24"/>
        </w:rPr>
      </w:pPr>
      <w:r w:rsidRPr="00C165BA">
        <w:rPr>
          <w:rFonts w:cs="Calibri"/>
          <w:sz w:val="24"/>
          <w:szCs w:val="24"/>
        </w:rPr>
        <w:t>Failure to comply with the policy can result in restrictions being placed on access to ICT Systems &amp; Services and/or disciplinary action being taken.</w:t>
      </w:r>
    </w:p>
    <w:p w14:paraId="60B85A04" w14:textId="77777777" w:rsidR="00B71B33" w:rsidRDefault="00B71B33" w:rsidP="00E95150">
      <w:pPr>
        <w:rPr>
          <w:b/>
          <w:bCs/>
          <w:sz w:val="24"/>
          <w:szCs w:val="24"/>
        </w:rPr>
      </w:pPr>
    </w:p>
    <w:p w14:paraId="7F407307" w14:textId="4CB72ED2" w:rsidR="00265102" w:rsidRDefault="00265102" w:rsidP="00265102">
      <w:pPr>
        <w:numPr>
          <w:ilvl w:val="0"/>
          <w:numId w:val="6"/>
        </w:numPr>
        <w:rPr>
          <w:b/>
          <w:bCs/>
          <w:sz w:val="28"/>
          <w:szCs w:val="28"/>
        </w:rPr>
      </w:pPr>
      <w:r w:rsidRPr="00265102">
        <w:rPr>
          <w:b/>
          <w:bCs/>
          <w:sz w:val="28"/>
          <w:szCs w:val="28"/>
        </w:rPr>
        <w:t>R</w:t>
      </w:r>
      <w:r w:rsidR="00D83491">
        <w:rPr>
          <w:b/>
          <w:bCs/>
          <w:sz w:val="28"/>
          <w:szCs w:val="28"/>
        </w:rPr>
        <w:t>esponsibilities</w:t>
      </w:r>
    </w:p>
    <w:p w14:paraId="42047B9E" w14:textId="77777777" w:rsidR="00D83491" w:rsidRPr="00C165BA" w:rsidRDefault="00D83491" w:rsidP="00D83491">
      <w:pPr>
        <w:spacing w:before="120"/>
        <w:ind w:left="567"/>
        <w:rPr>
          <w:rFonts w:cs="Calibri"/>
          <w:sz w:val="24"/>
          <w:szCs w:val="24"/>
        </w:rPr>
      </w:pPr>
      <w:r w:rsidRPr="00C165BA">
        <w:rPr>
          <w:rFonts w:cs="Calibri"/>
          <w:sz w:val="24"/>
          <w:szCs w:val="24"/>
        </w:rPr>
        <w:t xml:space="preserve">All </w:t>
      </w:r>
      <w:r w:rsidRPr="00C165BA">
        <w:rPr>
          <w:rFonts w:cs="Calibri"/>
          <w:b/>
          <w:bCs/>
          <w:sz w:val="24"/>
          <w:szCs w:val="24"/>
        </w:rPr>
        <w:t>users</w:t>
      </w:r>
      <w:r w:rsidRPr="00C165BA">
        <w:rPr>
          <w:rFonts w:cs="Calibri"/>
          <w:sz w:val="24"/>
          <w:szCs w:val="24"/>
        </w:rPr>
        <w:t xml:space="preserve"> are responsible for:</w:t>
      </w:r>
    </w:p>
    <w:p w14:paraId="41073C62" w14:textId="77777777" w:rsidR="00D83491" w:rsidRPr="00C165BA" w:rsidRDefault="00D83491" w:rsidP="00D83491">
      <w:pPr>
        <w:pStyle w:val="ListParagraph"/>
        <w:numPr>
          <w:ilvl w:val="0"/>
          <w:numId w:val="14"/>
        </w:numPr>
        <w:ind w:left="1434" w:hanging="357"/>
        <w:rPr>
          <w:rFonts w:ascii="Calibri" w:hAnsi="Calibri" w:cs="Calibri"/>
          <w:sz w:val="24"/>
          <w:szCs w:val="24"/>
        </w:rPr>
      </w:pPr>
      <w:r w:rsidRPr="00C165BA">
        <w:rPr>
          <w:rFonts w:ascii="Calibri" w:hAnsi="Calibri" w:cs="Calibri"/>
          <w:sz w:val="24"/>
          <w:szCs w:val="24"/>
        </w:rPr>
        <w:t xml:space="preserve">Ensuring they are aware of and comply with this policy and subsequent </w:t>
      </w:r>
      <w:proofErr w:type="gramStart"/>
      <w:r w:rsidRPr="00C165BA">
        <w:rPr>
          <w:rFonts w:ascii="Calibri" w:hAnsi="Calibri" w:cs="Calibri"/>
          <w:sz w:val="24"/>
          <w:szCs w:val="24"/>
        </w:rPr>
        <w:t>updates;</w:t>
      </w:r>
      <w:proofErr w:type="gramEnd"/>
    </w:p>
    <w:p w14:paraId="4DA4603B" w14:textId="77777777" w:rsidR="00D83491" w:rsidRPr="00C165BA" w:rsidRDefault="00D83491" w:rsidP="00D83491">
      <w:pPr>
        <w:pStyle w:val="ListParagraph"/>
        <w:numPr>
          <w:ilvl w:val="0"/>
          <w:numId w:val="14"/>
        </w:numPr>
        <w:ind w:left="1434" w:hanging="357"/>
        <w:rPr>
          <w:rFonts w:ascii="Calibri" w:hAnsi="Calibri" w:cs="Calibri"/>
          <w:sz w:val="24"/>
          <w:szCs w:val="24"/>
        </w:rPr>
      </w:pPr>
      <w:r w:rsidRPr="00C165BA">
        <w:rPr>
          <w:rFonts w:ascii="Calibri" w:hAnsi="Calibri" w:cs="Calibri"/>
          <w:sz w:val="24"/>
          <w:szCs w:val="24"/>
        </w:rPr>
        <w:t xml:space="preserve">Applying operating system updates when </w:t>
      </w:r>
      <w:proofErr w:type="gramStart"/>
      <w:r w:rsidRPr="00C165BA">
        <w:rPr>
          <w:rFonts w:ascii="Calibri" w:hAnsi="Calibri" w:cs="Calibri"/>
          <w:sz w:val="24"/>
          <w:szCs w:val="24"/>
        </w:rPr>
        <w:t>prompted;</w:t>
      </w:r>
      <w:proofErr w:type="gramEnd"/>
    </w:p>
    <w:p w14:paraId="360C8F1A" w14:textId="77777777" w:rsidR="00D83491" w:rsidRPr="00C165BA" w:rsidRDefault="00D83491" w:rsidP="00D83491">
      <w:pPr>
        <w:pStyle w:val="ListParagraph"/>
        <w:numPr>
          <w:ilvl w:val="0"/>
          <w:numId w:val="14"/>
        </w:numPr>
        <w:ind w:left="1434" w:hanging="357"/>
        <w:rPr>
          <w:rFonts w:ascii="Calibri" w:hAnsi="Calibri" w:cs="Calibri"/>
          <w:sz w:val="24"/>
          <w:szCs w:val="24"/>
        </w:rPr>
      </w:pPr>
      <w:r w:rsidRPr="00C165BA">
        <w:rPr>
          <w:rFonts w:ascii="Calibri" w:hAnsi="Calibri" w:cs="Calibri"/>
          <w:sz w:val="24"/>
          <w:szCs w:val="24"/>
        </w:rPr>
        <w:t>C</w:t>
      </w:r>
      <w:r w:rsidRPr="00C165BA">
        <w:rPr>
          <w:rFonts w:ascii="Calibri" w:hAnsi="Calibri" w:cs="Calibri"/>
          <w:color w:val="000000"/>
          <w:sz w:val="24"/>
          <w:szCs w:val="24"/>
        </w:rPr>
        <w:t xml:space="preserve">omplying with current legislation, including copyright </w:t>
      </w:r>
      <w:proofErr w:type="gramStart"/>
      <w:r w:rsidRPr="00C165BA">
        <w:rPr>
          <w:rFonts w:ascii="Calibri" w:hAnsi="Calibri" w:cs="Calibri"/>
          <w:color w:val="000000"/>
          <w:sz w:val="24"/>
          <w:szCs w:val="24"/>
        </w:rPr>
        <w:t>laws;</w:t>
      </w:r>
      <w:proofErr w:type="gramEnd"/>
    </w:p>
    <w:p w14:paraId="1ADA9FDB" w14:textId="15EA065F" w:rsidR="00D83491" w:rsidRPr="00C165BA" w:rsidRDefault="00D83491" w:rsidP="00D83491">
      <w:pPr>
        <w:pStyle w:val="ListParagraph"/>
        <w:numPr>
          <w:ilvl w:val="0"/>
          <w:numId w:val="14"/>
        </w:numPr>
        <w:ind w:left="1434" w:hanging="357"/>
        <w:rPr>
          <w:rFonts w:ascii="Calibri" w:hAnsi="Calibri" w:cs="Calibri"/>
          <w:sz w:val="24"/>
          <w:szCs w:val="24"/>
        </w:rPr>
      </w:pPr>
      <w:r w:rsidRPr="00C165BA">
        <w:rPr>
          <w:rFonts w:ascii="Calibri" w:hAnsi="Calibri" w:cs="Calibri"/>
          <w:sz w:val="24"/>
          <w:szCs w:val="24"/>
        </w:rPr>
        <w:t xml:space="preserve">Adhering to software licensing terms and service terms of use and </w:t>
      </w:r>
      <w:r w:rsidRPr="00C165BA">
        <w:rPr>
          <w:rFonts w:ascii="Calibri" w:hAnsi="Calibri" w:cs="Calibri"/>
          <w:b/>
          <w:bCs/>
          <w:sz w:val="24"/>
          <w:szCs w:val="24"/>
        </w:rPr>
        <w:t>must not</w:t>
      </w:r>
      <w:r w:rsidRPr="00C165BA">
        <w:rPr>
          <w:rFonts w:ascii="Calibri" w:hAnsi="Calibri" w:cs="Calibri"/>
          <w:sz w:val="24"/>
          <w:szCs w:val="24"/>
        </w:rPr>
        <w:t xml:space="preserve"> download software that has not been authorised by the </w:t>
      </w:r>
      <w:proofErr w:type="gramStart"/>
      <w:r w:rsidRPr="00C165BA">
        <w:rPr>
          <w:rFonts w:ascii="Calibri" w:hAnsi="Calibri" w:cs="Calibri"/>
          <w:sz w:val="24"/>
          <w:szCs w:val="24"/>
        </w:rPr>
        <w:t>Directors;</w:t>
      </w:r>
      <w:proofErr w:type="gramEnd"/>
    </w:p>
    <w:p w14:paraId="50334C01" w14:textId="77777777" w:rsidR="00D83491" w:rsidRPr="00C165BA" w:rsidRDefault="00D83491" w:rsidP="00D83491">
      <w:pPr>
        <w:pStyle w:val="ListParagraph"/>
        <w:numPr>
          <w:ilvl w:val="0"/>
          <w:numId w:val="14"/>
        </w:numPr>
        <w:ind w:left="1434" w:hanging="357"/>
        <w:rPr>
          <w:rFonts w:ascii="Calibri" w:hAnsi="Calibri" w:cs="Calibri"/>
          <w:sz w:val="24"/>
          <w:szCs w:val="24"/>
        </w:rPr>
      </w:pPr>
      <w:r w:rsidRPr="00C165BA">
        <w:rPr>
          <w:rFonts w:ascii="Calibri" w:hAnsi="Calibri" w:cs="Calibri"/>
          <w:sz w:val="24"/>
          <w:szCs w:val="24"/>
        </w:rPr>
        <w:t>Being vigilant to safeguard and protect ICT Systems &amp; Services.</w:t>
      </w:r>
    </w:p>
    <w:p w14:paraId="5AF7AC16" w14:textId="77777777" w:rsidR="00D83491" w:rsidRPr="00C165BA" w:rsidRDefault="00D83491" w:rsidP="00D83491">
      <w:pPr>
        <w:spacing w:before="120"/>
        <w:ind w:left="567"/>
        <w:rPr>
          <w:rFonts w:cs="Calibri"/>
          <w:sz w:val="24"/>
          <w:szCs w:val="24"/>
        </w:rPr>
      </w:pPr>
      <w:r w:rsidRPr="00C165BA">
        <w:rPr>
          <w:rFonts w:cs="Calibri"/>
          <w:b/>
          <w:bCs/>
          <w:sz w:val="24"/>
          <w:szCs w:val="24"/>
        </w:rPr>
        <w:t>Users</w:t>
      </w:r>
      <w:r w:rsidRPr="00C165BA">
        <w:rPr>
          <w:rFonts w:cs="Calibri"/>
          <w:sz w:val="24"/>
          <w:szCs w:val="24"/>
        </w:rPr>
        <w:t xml:space="preserve"> must not:</w:t>
      </w:r>
    </w:p>
    <w:p w14:paraId="6A91AD25" w14:textId="35368EA2" w:rsidR="00D83491" w:rsidRPr="00C165BA" w:rsidRDefault="00D83491" w:rsidP="00D83491">
      <w:pPr>
        <w:pStyle w:val="ListParagraph"/>
        <w:numPr>
          <w:ilvl w:val="0"/>
          <w:numId w:val="14"/>
        </w:numPr>
        <w:ind w:left="1434" w:hanging="357"/>
        <w:rPr>
          <w:rFonts w:ascii="Calibri" w:hAnsi="Calibri" w:cs="Calibri"/>
          <w:sz w:val="24"/>
          <w:szCs w:val="24"/>
        </w:rPr>
      </w:pPr>
      <w:r w:rsidRPr="00C165BA">
        <w:rPr>
          <w:rFonts w:ascii="Calibri" w:hAnsi="Calibri" w:cs="Calibri"/>
          <w:sz w:val="24"/>
          <w:szCs w:val="24"/>
        </w:rPr>
        <w:t xml:space="preserve">Use ICT Systems and Services for any illegal or criminal activities or activities that could bring the Alliance into </w:t>
      </w:r>
      <w:proofErr w:type="gramStart"/>
      <w:r w:rsidRPr="00C165BA">
        <w:rPr>
          <w:rFonts w:ascii="Calibri" w:hAnsi="Calibri" w:cs="Calibri"/>
          <w:sz w:val="24"/>
          <w:szCs w:val="24"/>
        </w:rPr>
        <w:t>disrepute;</w:t>
      </w:r>
      <w:proofErr w:type="gramEnd"/>
    </w:p>
    <w:p w14:paraId="71AC4685" w14:textId="77777777" w:rsidR="00D83491" w:rsidRPr="00C165BA" w:rsidRDefault="00D83491" w:rsidP="00D83491">
      <w:pPr>
        <w:pStyle w:val="ListParagraph"/>
        <w:numPr>
          <w:ilvl w:val="0"/>
          <w:numId w:val="14"/>
        </w:numPr>
        <w:ind w:left="1434" w:hanging="357"/>
        <w:rPr>
          <w:rFonts w:ascii="Calibri" w:hAnsi="Calibri" w:cs="Calibri"/>
          <w:sz w:val="24"/>
          <w:szCs w:val="24"/>
        </w:rPr>
      </w:pPr>
      <w:r w:rsidRPr="00C165BA">
        <w:rPr>
          <w:rFonts w:ascii="Calibri" w:hAnsi="Calibri" w:cs="Calibri"/>
          <w:sz w:val="24"/>
          <w:szCs w:val="24"/>
        </w:rPr>
        <w:t>View, download, create or distribute digital content that is:</w:t>
      </w:r>
    </w:p>
    <w:p w14:paraId="791A5399" w14:textId="77777777" w:rsidR="00D83491" w:rsidRPr="00C165BA" w:rsidRDefault="00D83491" w:rsidP="00D83491">
      <w:pPr>
        <w:pStyle w:val="ListParagraph"/>
        <w:numPr>
          <w:ilvl w:val="2"/>
          <w:numId w:val="14"/>
        </w:numPr>
        <w:rPr>
          <w:rFonts w:ascii="Calibri" w:hAnsi="Calibri" w:cs="Calibri"/>
          <w:sz w:val="24"/>
          <w:szCs w:val="24"/>
        </w:rPr>
      </w:pPr>
      <w:r w:rsidRPr="00C165BA">
        <w:rPr>
          <w:rFonts w:ascii="Calibri" w:hAnsi="Calibri" w:cs="Calibri"/>
          <w:sz w:val="24"/>
          <w:szCs w:val="24"/>
        </w:rPr>
        <w:t xml:space="preserve">Discriminatory or of a harassing </w:t>
      </w:r>
      <w:proofErr w:type="gramStart"/>
      <w:r w:rsidRPr="00C165BA">
        <w:rPr>
          <w:rFonts w:ascii="Calibri" w:hAnsi="Calibri" w:cs="Calibri"/>
          <w:sz w:val="24"/>
          <w:szCs w:val="24"/>
        </w:rPr>
        <w:t>nature;</w:t>
      </w:r>
      <w:proofErr w:type="gramEnd"/>
    </w:p>
    <w:p w14:paraId="02061B62" w14:textId="77777777" w:rsidR="00D83491" w:rsidRPr="00C165BA" w:rsidRDefault="00D83491" w:rsidP="00D83491">
      <w:pPr>
        <w:pStyle w:val="ListParagraph"/>
        <w:numPr>
          <w:ilvl w:val="2"/>
          <w:numId w:val="14"/>
        </w:numPr>
        <w:rPr>
          <w:rFonts w:ascii="Calibri" w:hAnsi="Calibri" w:cs="Calibri"/>
          <w:sz w:val="24"/>
          <w:szCs w:val="24"/>
        </w:rPr>
      </w:pPr>
      <w:r w:rsidRPr="00C165BA">
        <w:rPr>
          <w:rFonts w:ascii="Calibri" w:hAnsi="Calibri" w:cs="Calibri"/>
          <w:sz w:val="24"/>
          <w:szCs w:val="24"/>
        </w:rPr>
        <w:t xml:space="preserve">Pornographic, obscene, sexist, racist, offensive, or </w:t>
      </w:r>
      <w:proofErr w:type="gramStart"/>
      <w:r w:rsidRPr="00C165BA">
        <w:rPr>
          <w:rFonts w:ascii="Calibri" w:hAnsi="Calibri" w:cs="Calibri"/>
          <w:sz w:val="24"/>
          <w:szCs w:val="24"/>
        </w:rPr>
        <w:t>illegal;</w:t>
      </w:r>
      <w:proofErr w:type="gramEnd"/>
    </w:p>
    <w:p w14:paraId="3F552963" w14:textId="77777777" w:rsidR="00D83491" w:rsidRPr="00C165BA" w:rsidRDefault="00D83491" w:rsidP="00D83491">
      <w:pPr>
        <w:pStyle w:val="ListParagraph"/>
        <w:numPr>
          <w:ilvl w:val="2"/>
          <w:numId w:val="14"/>
        </w:numPr>
        <w:rPr>
          <w:rFonts w:ascii="Calibri" w:hAnsi="Calibri" w:cs="Calibri"/>
          <w:sz w:val="24"/>
          <w:szCs w:val="24"/>
        </w:rPr>
      </w:pPr>
      <w:r w:rsidRPr="00C165BA">
        <w:rPr>
          <w:rFonts w:ascii="Calibri" w:hAnsi="Calibri" w:cs="Calibri"/>
          <w:sz w:val="24"/>
          <w:szCs w:val="24"/>
        </w:rPr>
        <w:t xml:space="preserve">Derogatory or defamatory to any individual or </w:t>
      </w:r>
      <w:proofErr w:type="gramStart"/>
      <w:r w:rsidRPr="00C165BA">
        <w:rPr>
          <w:rFonts w:ascii="Calibri" w:hAnsi="Calibri" w:cs="Calibri"/>
          <w:sz w:val="24"/>
          <w:szCs w:val="24"/>
        </w:rPr>
        <w:t>organisation;</w:t>
      </w:r>
      <w:proofErr w:type="gramEnd"/>
    </w:p>
    <w:p w14:paraId="54BE924D" w14:textId="77E07FC7" w:rsidR="00B71B33" w:rsidRPr="00C165BA" w:rsidRDefault="00D83491" w:rsidP="0081481F">
      <w:pPr>
        <w:pStyle w:val="ListParagraph"/>
        <w:numPr>
          <w:ilvl w:val="2"/>
          <w:numId w:val="14"/>
        </w:numPr>
        <w:rPr>
          <w:rFonts w:ascii="Calibri" w:hAnsi="Calibri" w:cs="Calibri"/>
          <w:sz w:val="24"/>
          <w:szCs w:val="24"/>
        </w:rPr>
      </w:pPr>
      <w:r w:rsidRPr="00C165BA">
        <w:rPr>
          <w:rFonts w:ascii="Calibri" w:hAnsi="Calibri" w:cs="Calibri"/>
          <w:sz w:val="24"/>
          <w:szCs w:val="24"/>
        </w:rPr>
        <w:t>Contrary to the Alliance’s policies or interests.</w:t>
      </w:r>
    </w:p>
    <w:p w14:paraId="7A92F8A4" w14:textId="67616EE4" w:rsidR="0081481F" w:rsidRPr="00C165BA" w:rsidRDefault="0081481F" w:rsidP="0081481F">
      <w:pPr>
        <w:pStyle w:val="ListParagraph"/>
        <w:rPr>
          <w:rFonts w:ascii="Calibri" w:hAnsi="Calibri" w:cs="Calibri"/>
          <w:sz w:val="24"/>
          <w:szCs w:val="24"/>
        </w:rPr>
      </w:pPr>
    </w:p>
    <w:p w14:paraId="1FE80576" w14:textId="77777777" w:rsidR="0081481F" w:rsidRPr="00C165BA" w:rsidRDefault="0081481F" w:rsidP="0081481F">
      <w:pPr>
        <w:pStyle w:val="ListParagraph"/>
        <w:rPr>
          <w:rFonts w:ascii="Calibri" w:hAnsi="Calibri" w:cs="Calibri"/>
          <w:sz w:val="24"/>
          <w:szCs w:val="24"/>
        </w:rPr>
      </w:pPr>
    </w:p>
    <w:p w14:paraId="2F767B8A" w14:textId="6B02D502" w:rsidR="00426FDA" w:rsidRPr="00265102" w:rsidRDefault="00ED766F" w:rsidP="00265102">
      <w:pPr>
        <w:numPr>
          <w:ilvl w:val="0"/>
          <w:numId w:val="6"/>
        </w:numPr>
        <w:rPr>
          <w:b/>
          <w:bCs/>
          <w:sz w:val="28"/>
          <w:szCs w:val="28"/>
        </w:rPr>
      </w:pPr>
      <w:r>
        <w:rPr>
          <w:b/>
          <w:bCs/>
          <w:sz w:val="28"/>
          <w:szCs w:val="28"/>
        </w:rPr>
        <w:t>Hardware devices</w:t>
      </w:r>
    </w:p>
    <w:p w14:paraId="22F7645A" w14:textId="7A8EC14C" w:rsidR="00ED766F" w:rsidRPr="00ED766F" w:rsidRDefault="00ED766F" w:rsidP="00ED766F">
      <w:pPr>
        <w:spacing w:before="120"/>
        <w:ind w:left="720"/>
        <w:rPr>
          <w:rFonts w:cs="Arial"/>
          <w:sz w:val="24"/>
          <w:szCs w:val="24"/>
        </w:rPr>
      </w:pPr>
      <w:r w:rsidRPr="00ED766F">
        <w:rPr>
          <w:rFonts w:cs="Arial"/>
          <w:sz w:val="24"/>
          <w:szCs w:val="24"/>
        </w:rPr>
        <w:t>Users must take reasonable care of ICT equipment provided by the A</w:t>
      </w:r>
      <w:r>
        <w:rPr>
          <w:rFonts w:cs="Arial"/>
          <w:sz w:val="24"/>
          <w:szCs w:val="24"/>
        </w:rPr>
        <w:t>lliance</w:t>
      </w:r>
      <w:r w:rsidRPr="00ED766F">
        <w:rPr>
          <w:rFonts w:cs="Arial"/>
          <w:sz w:val="24"/>
          <w:szCs w:val="24"/>
        </w:rPr>
        <w:t xml:space="preserve">. Portable devices, including laptops, must not be left unattended in public </w:t>
      </w:r>
      <w:proofErr w:type="gramStart"/>
      <w:r w:rsidRPr="00ED766F">
        <w:rPr>
          <w:rFonts w:cs="Arial"/>
          <w:sz w:val="24"/>
          <w:szCs w:val="24"/>
        </w:rPr>
        <w:t>places</w:t>
      </w:r>
      <w:proofErr w:type="gramEnd"/>
      <w:r w:rsidRPr="00ED766F">
        <w:rPr>
          <w:rFonts w:cs="Arial"/>
          <w:sz w:val="24"/>
          <w:szCs w:val="24"/>
        </w:rPr>
        <w:t xml:space="preserve"> or left on display in a vehicle, and where possible devices should be locked away or moved out of sight overnight.</w:t>
      </w:r>
    </w:p>
    <w:p w14:paraId="07D193FC" w14:textId="7A6F9007" w:rsidR="00ED766F" w:rsidRPr="00ED766F" w:rsidRDefault="00ED766F" w:rsidP="00ED766F">
      <w:pPr>
        <w:spacing w:before="120"/>
        <w:ind w:left="720"/>
        <w:rPr>
          <w:rFonts w:cs="Arial"/>
          <w:sz w:val="24"/>
          <w:szCs w:val="24"/>
        </w:rPr>
      </w:pPr>
      <w:r w:rsidRPr="00ED766F">
        <w:rPr>
          <w:rFonts w:cs="Arial"/>
          <w:sz w:val="24"/>
          <w:szCs w:val="24"/>
        </w:rPr>
        <w:t xml:space="preserve">Users must notify the </w:t>
      </w:r>
      <w:r>
        <w:rPr>
          <w:rFonts w:cs="Arial"/>
          <w:sz w:val="24"/>
          <w:szCs w:val="24"/>
        </w:rPr>
        <w:t>Directors</w:t>
      </w:r>
      <w:r w:rsidRPr="00ED766F">
        <w:rPr>
          <w:rFonts w:cs="Arial"/>
          <w:sz w:val="24"/>
          <w:szCs w:val="24"/>
        </w:rPr>
        <w:t xml:space="preserve"> immediately if a device is misplaced, lost, stolen or damaged.</w:t>
      </w:r>
    </w:p>
    <w:p w14:paraId="64B14B3E" w14:textId="35D2C9E8" w:rsidR="00ED766F" w:rsidRPr="00ED766F" w:rsidRDefault="00ED766F" w:rsidP="00ED766F">
      <w:pPr>
        <w:autoSpaceDE w:val="0"/>
        <w:autoSpaceDN w:val="0"/>
        <w:adjustRightInd w:val="0"/>
        <w:spacing w:before="120"/>
        <w:ind w:left="720"/>
        <w:rPr>
          <w:rFonts w:cs="Arial"/>
          <w:sz w:val="24"/>
          <w:szCs w:val="24"/>
        </w:rPr>
      </w:pPr>
      <w:r w:rsidRPr="00ED766F">
        <w:rPr>
          <w:rFonts w:cs="Arial"/>
          <w:sz w:val="24"/>
          <w:szCs w:val="24"/>
        </w:rPr>
        <w:t>Any hardware provided by the A</w:t>
      </w:r>
      <w:r>
        <w:rPr>
          <w:rFonts w:cs="Arial"/>
          <w:sz w:val="24"/>
          <w:szCs w:val="24"/>
        </w:rPr>
        <w:t>lliance</w:t>
      </w:r>
      <w:r w:rsidRPr="00ED766F">
        <w:rPr>
          <w:rFonts w:cs="Arial"/>
          <w:sz w:val="24"/>
          <w:szCs w:val="24"/>
        </w:rPr>
        <w:t xml:space="preserve"> which is no longer required or has reached the end of useful life must be returned as soon as possible for secure disposal.</w:t>
      </w:r>
    </w:p>
    <w:p w14:paraId="6A500832" w14:textId="77777777" w:rsidR="00B71B33" w:rsidRPr="00265102" w:rsidRDefault="00B71B33" w:rsidP="00265102">
      <w:pPr>
        <w:ind w:left="360"/>
        <w:rPr>
          <w:b/>
          <w:bCs/>
          <w:sz w:val="24"/>
          <w:szCs w:val="24"/>
        </w:rPr>
      </w:pPr>
    </w:p>
    <w:p w14:paraId="1A7E3964" w14:textId="7F7AF37D" w:rsidR="00ED766F" w:rsidRPr="0081481F" w:rsidRDefault="00ED766F" w:rsidP="00ED766F">
      <w:pPr>
        <w:numPr>
          <w:ilvl w:val="0"/>
          <w:numId w:val="6"/>
        </w:numPr>
        <w:rPr>
          <w:b/>
          <w:bCs/>
          <w:sz w:val="28"/>
          <w:szCs w:val="28"/>
        </w:rPr>
      </w:pPr>
      <w:r>
        <w:rPr>
          <w:b/>
          <w:bCs/>
          <w:sz w:val="28"/>
          <w:szCs w:val="28"/>
        </w:rPr>
        <w:t>Security Access and Control</w:t>
      </w:r>
    </w:p>
    <w:p w14:paraId="5F5F1C77" w14:textId="2CF7D3A8" w:rsidR="00ED766F" w:rsidRPr="0081481F" w:rsidRDefault="00ED766F" w:rsidP="00ED766F">
      <w:pPr>
        <w:spacing w:before="120"/>
        <w:ind w:left="567"/>
        <w:rPr>
          <w:rFonts w:cs="Arial"/>
          <w:sz w:val="24"/>
          <w:szCs w:val="24"/>
        </w:rPr>
      </w:pPr>
      <w:r w:rsidRPr="0081481F">
        <w:rPr>
          <w:rFonts w:cs="Arial"/>
          <w:sz w:val="24"/>
          <w:szCs w:val="24"/>
        </w:rPr>
        <w:t>Only authorised users are permitted to use ICT Systems &amp; Services provided by the A</w:t>
      </w:r>
      <w:r w:rsidR="0081481F">
        <w:rPr>
          <w:rFonts w:cs="Arial"/>
          <w:sz w:val="24"/>
          <w:szCs w:val="24"/>
        </w:rPr>
        <w:t>lliance</w:t>
      </w:r>
      <w:r w:rsidRPr="0081481F">
        <w:rPr>
          <w:rFonts w:cs="Arial"/>
          <w:sz w:val="24"/>
          <w:szCs w:val="24"/>
        </w:rPr>
        <w:t xml:space="preserve">. Access to systems is controlled by passwords and, where possible, a second method of authentication. Any passwords must be kept private and not shared, </w:t>
      </w:r>
      <w:proofErr w:type="gramStart"/>
      <w:r w:rsidRPr="0081481F">
        <w:rPr>
          <w:rFonts w:cs="Arial"/>
          <w:sz w:val="24"/>
          <w:szCs w:val="24"/>
        </w:rPr>
        <w:t>displayed</w:t>
      </w:r>
      <w:proofErr w:type="gramEnd"/>
      <w:r w:rsidRPr="0081481F">
        <w:rPr>
          <w:rFonts w:cs="Arial"/>
          <w:sz w:val="24"/>
          <w:szCs w:val="24"/>
        </w:rPr>
        <w:t xml:space="preserve"> or communicated to others, including third parties and other family members, and you must never use your primary A</w:t>
      </w:r>
      <w:r w:rsidR="0081481F">
        <w:rPr>
          <w:rFonts w:cs="Arial"/>
          <w:sz w:val="24"/>
          <w:szCs w:val="24"/>
        </w:rPr>
        <w:t>lliance</w:t>
      </w:r>
      <w:r w:rsidRPr="0081481F">
        <w:rPr>
          <w:rFonts w:cs="Arial"/>
          <w:sz w:val="24"/>
          <w:szCs w:val="24"/>
        </w:rPr>
        <w:t xml:space="preserve"> password for other online accounts or services.</w:t>
      </w:r>
    </w:p>
    <w:p w14:paraId="5ED3E6AF" w14:textId="77777777" w:rsidR="00ED766F" w:rsidRPr="0081481F" w:rsidRDefault="00ED766F" w:rsidP="00ED766F">
      <w:pPr>
        <w:spacing w:before="120"/>
        <w:ind w:left="567"/>
        <w:rPr>
          <w:rFonts w:cs="Arial"/>
          <w:sz w:val="24"/>
          <w:szCs w:val="24"/>
        </w:rPr>
      </w:pPr>
      <w:r w:rsidRPr="0081481F">
        <w:rPr>
          <w:rFonts w:cs="Arial"/>
          <w:sz w:val="24"/>
          <w:szCs w:val="24"/>
        </w:rPr>
        <w:t xml:space="preserve">Strong passwords with a combination of uppercase, lowercase, </w:t>
      </w:r>
      <w:proofErr w:type="gramStart"/>
      <w:r w:rsidRPr="0081481F">
        <w:rPr>
          <w:rFonts w:cs="Arial"/>
          <w:sz w:val="24"/>
          <w:szCs w:val="24"/>
        </w:rPr>
        <w:t>numbers</w:t>
      </w:r>
      <w:proofErr w:type="gramEnd"/>
      <w:r w:rsidRPr="0081481F">
        <w:rPr>
          <w:rFonts w:cs="Arial"/>
          <w:sz w:val="24"/>
          <w:szCs w:val="24"/>
        </w:rPr>
        <w:t xml:space="preserve"> and symbols should be used and common usage words such as derivatives of ‘password’, names of family, friends, pets, co-workers, fantasy characters, birthdays or other personal information must be avoided.</w:t>
      </w:r>
    </w:p>
    <w:p w14:paraId="02459F2B" w14:textId="73A09857" w:rsidR="00ED766F" w:rsidRPr="0081481F" w:rsidRDefault="00ED766F" w:rsidP="00ED766F">
      <w:pPr>
        <w:spacing w:before="120"/>
        <w:ind w:left="567"/>
        <w:rPr>
          <w:rFonts w:cs="Arial"/>
          <w:sz w:val="24"/>
          <w:szCs w:val="24"/>
        </w:rPr>
      </w:pPr>
      <w:r w:rsidRPr="0081481F">
        <w:rPr>
          <w:rFonts w:cs="Arial"/>
          <w:sz w:val="24"/>
          <w:szCs w:val="24"/>
        </w:rPr>
        <w:t>Passwords should only be saved on devices provided by the A</w:t>
      </w:r>
      <w:r w:rsidR="0081481F">
        <w:rPr>
          <w:rFonts w:cs="Arial"/>
          <w:sz w:val="24"/>
          <w:szCs w:val="24"/>
        </w:rPr>
        <w:t>lliance</w:t>
      </w:r>
      <w:r w:rsidRPr="0081481F">
        <w:rPr>
          <w:rFonts w:cs="Arial"/>
          <w:sz w:val="24"/>
          <w:szCs w:val="24"/>
        </w:rPr>
        <w:t>. You should never save passwords for A</w:t>
      </w:r>
      <w:r w:rsidR="0081481F">
        <w:rPr>
          <w:rFonts w:cs="Arial"/>
          <w:sz w:val="24"/>
          <w:szCs w:val="24"/>
        </w:rPr>
        <w:t>lliance</w:t>
      </w:r>
      <w:r w:rsidRPr="0081481F">
        <w:rPr>
          <w:rFonts w:cs="Arial"/>
          <w:sz w:val="24"/>
          <w:szCs w:val="24"/>
        </w:rPr>
        <w:t xml:space="preserve"> ICT Systems &amp; Services on public devices. </w:t>
      </w:r>
    </w:p>
    <w:p w14:paraId="1A812263" w14:textId="73014314" w:rsidR="00ED766F" w:rsidRPr="0081481F" w:rsidRDefault="00ED766F" w:rsidP="00ED766F">
      <w:pPr>
        <w:autoSpaceDE w:val="0"/>
        <w:autoSpaceDN w:val="0"/>
        <w:adjustRightInd w:val="0"/>
        <w:spacing w:before="120"/>
        <w:ind w:left="567"/>
        <w:rPr>
          <w:rFonts w:cs="Arial"/>
          <w:sz w:val="24"/>
          <w:szCs w:val="24"/>
        </w:rPr>
      </w:pPr>
      <w:r w:rsidRPr="0081481F">
        <w:rPr>
          <w:rFonts w:cs="Arial"/>
          <w:sz w:val="24"/>
          <w:szCs w:val="24"/>
        </w:rPr>
        <w:t xml:space="preserve">To prevent unauthorised access, devices and monitors should be shut down and powered off when not in use for extended periods, and users should log off or lock their device when leaving it unattended for shorter periods. Mobiles and tablets must be protected with a password, </w:t>
      </w:r>
      <w:proofErr w:type="gramStart"/>
      <w:r w:rsidRPr="0081481F">
        <w:rPr>
          <w:rFonts w:cs="Arial"/>
          <w:sz w:val="24"/>
          <w:szCs w:val="24"/>
        </w:rPr>
        <w:t>PIN</w:t>
      </w:r>
      <w:proofErr w:type="gramEnd"/>
      <w:r w:rsidRPr="0081481F">
        <w:rPr>
          <w:rFonts w:cs="Arial"/>
          <w:sz w:val="24"/>
          <w:szCs w:val="24"/>
        </w:rPr>
        <w:t xml:space="preserve"> or fingerprint ID. </w:t>
      </w:r>
    </w:p>
    <w:p w14:paraId="2C3E5A4A" w14:textId="54EB1F3C" w:rsidR="00C855FE" w:rsidRPr="0081481F" w:rsidRDefault="00ED766F" w:rsidP="0081481F">
      <w:pPr>
        <w:spacing w:before="120"/>
        <w:ind w:left="567"/>
        <w:rPr>
          <w:rFonts w:cs="Arial"/>
          <w:sz w:val="24"/>
          <w:szCs w:val="24"/>
        </w:rPr>
      </w:pPr>
      <w:r w:rsidRPr="0081481F">
        <w:rPr>
          <w:rFonts w:cs="Arial"/>
          <w:sz w:val="24"/>
          <w:szCs w:val="24"/>
        </w:rPr>
        <w:t xml:space="preserve">Users must not attempt to read or ‘hack’ into other </w:t>
      </w:r>
      <w:r w:rsidR="0081481F" w:rsidRPr="0081481F">
        <w:rPr>
          <w:rFonts w:cs="Arial"/>
          <w:sz w:val="24"/>
          <w:szCs w:val="24"/>
        </w:rPr>
        <w:t>systems or</w:t>
      </w:r>
      <w:r w:rsidRPr="0081481F">
        <w:rPr>
          <w:rFonts w:cs="Arial"/>
          <w:sz w:val="24"/>
          <w:szCs w:val="24"/>
        </w:rPr>
        <w:t xml:space="preserve"> attempt to break into others’ login accounts or </w:t>
      </w:r>
      <w:proofErr w:type="gramStart"/>
      <w:r w:rsidRPr="0081481F">
        <w:rPr>
          <w:rFonts w:cs="Arial"/>
          <w:sz w:val="24"/>
          <w:szCs w:val="24"/>
        </w:rPr>
        <w:t>passwords, or</w:t>
      </w:r>
      <w:proofErr w:type="gramEnd"/>
      <w:r w:rsidRPr="0081481F">
        <w:rPr>
          <w:rFonts w:cs="Arial"/>
          <w:sz w:val="24"/>
          <w:szCs w:val="24"/>
        </w:rPr>
        <w:t xml:space="preserve"> attempt to breach network security measures.</w:t>
      </w:r>
    </w:p>
    <w:p w14:paraId="7FE4E488" w14:textId="77777777" w:rsidR="00C855FE" w:rsidRPr="00B71B33" w:rsidRDefault="00C855FE" w:rsidP="0081481F">
      <w:pPr>
        <w:rPr>
          <w:b/>
          <w:bCs/>
          <w:sz w:val="24"/>
          <w:szCs w:val="24"/>
        </w:rPr>
      </w:pPr>
    </w:p>
    <w:p w14:paraId="1BCAD898" w14:textId="7FA88955" w:rsidR="000A638D" w:rsidRDefault="00ED766F" w:rsidP="00ED766F">
      <w:pPr>
        <w:numPr>
          <w:ilvl w:val="0"/>
          <w:numId w:val="6"/>
        </w:numPr>
        <w:rPr>
          <w:b/>
          <w:bCs/>
          <w:sz w:val="28"/>
          <w:szCs w:val="28"/>
        </w:rPr>
      </w:pPr>
      <w:r>
        <w:rPr>
          <w:b/>
          <w:bCs/>
          <w:sz w:val="28"/>
          <w:szCs w:val="28"/>
        </w:rPr>
        <w:t>Data Storage</w:t>
      </w:r>
    </w:p>
    <w:p w14:paraId="1911C430" w14:textId="7DAF8783" w:rsidR="0081481F" w:rsidRPr="0081481F" w:rsidRDefault="0081481F" w:rsidP="0081481F">
      <w:pPr>
        <w:autoSpaceDE w:val="0"/>
        <w:autoSpaceDN w:val="0"/>
        <w:adjustRightInd w:val="0"/>
        <w:spacing w:before="120"/>
        <w:ind w:left="720"/>
        <w:rPr>
          <w:rFonts w:cs="Arial"/>
          <w:sz w:val="24"/>
          <w:szCs w:val="24"/>
        </w:rPr>
      </w:pPr>
      <w:r w:rsidRPr="0081481F">
        <w:rPr>
          <w:rFonts w:cs="Arial"/>
          <w:sz w:val="24"/>
          <w:szCs w:val="24"/>
        </w:rPr>
        <w:t xml:space="preserve">Data should primarily be stored on ICT Systems &amp; </w:t>
      </w:r>
      <w:proofErr w:type="gramStart"/>
      <w:r w:rsidRPr="0081481F">
        <w:rPr>
          <w:rFonts w:cs="Arial"/>
          <w:sz w:val="24"/>
          <w:szCs w:val="24"/>
        </w:rPr>
        <w:t>Services</w:t>
      </w:r>
      <w:r w:rsidR="007474BB">
        <w:rPr>
          <w:rFonts w:cs="Arial"/>
          <w:sz w:val="24"/>
          <w:szCs w:val="24"/>
        </w:rPr>
        <w:t>;</w:t>
      </w:r>
      <w:proofErr w:type="gramEnd"/>
      <w:r w:rsidR="007474BB">
        <w:rPr>
          <w:rFonts w:cs="Arial"/>
          <w:sz w:val="24"/>
          <w:szCs w:val="24"/>
        </w:rPr>
        <w:t xml:space="preserve"> S</w:t>
      </w:r>
      <w:r w:rsidRPr="0081481F">
        <w:rPr>
          <w:rFonts w:cs="Arial"/>
          <w:sz w:val="24"/>
          <w:szCs w:val="24"/>
        </w:rPr>
        <w:t>harePoint or local network drives. This ensures data is readily available to those that need access, whilst safeguarding confidential or sensitive data. It also ensures data is included in regular backups and business continuity processes, as the recovery of data stored elsewhere, such as that stored locally on a mobile device, cannot be guaranteed.</w:t>
      </w:r>
    </w:p>
    <w:p w14:paraId="59A026B3" w14:textId="4C1DB9D6" w:rsidR="0081481F" w:rsidRPr="0081481F" w:rsidRDefault="0081481F" w:rsidP="0081481F">
      <w:pPr>
        <w:autoSpaceDE w:val="0"/>
        <w:autoSpaceDN w:val="0"/>
        <w:adjustRightInd w:val="0"/>
        <w:spacing w:before="120"/>
        <w:ind w:left="720"/>
        <w:rPr>
          <w:rFonts w:cs="Arial"/>
          <w:sz w:val="24"/>
          <w:szCs w:val="24"/>
        </w:rPr>
      </w:pPr>
      <w:r w:rsidRPr="0081481F">
        <w:rPr>
          <w:rFonts w:cs="Arial"/>
          <w:sz w:val="24"/>
          <w:szCs w:val="24"/>
        </w:rPr>
        <w:t>Files and documents can be shared directly fro</w:t>
      </w:r>
      <w:r w:rsidR="007474BB">
        <w:rPr>
          <w:rFonts w:cs="Arial"/>
          <w:sz w:val="24"/>
          <w:szCs w:val="24"/>
        </w:rPr>
        <w:t>m</w:t>
      </w:r>
      <w:r w:rsidRPr="0081481F">
        <w:rPr>
          <w:rFonts w:cs="Arial"/>
          <w:sz w:val="24"/>
          <w:szCs w:val="24"/>
        </w:rPr>
        <w:t xml:space="preserve"> SharePoint. </w:t>
      </w:r>
    </w:p>
    <w:p w14:paraId="6FF982E2" w14:textId="02BA33ED" w:rsidR="0081481F" w:rsidRPr="0081481F" w:rsidRDefault="0081481F" w:rsidP="0081481F">
      <w:pPr>
        <w:autoSpaceDE w:val="0"/>
        <w:autoSpaceDN w:val="0"/>
        <w:adjustRightInd w:val="0"/>
        <w:spacing w:before="120"/>
        <w:ind w:left="720"/>
        <w:rPr>
          <w:rFonts w:cs="Arial"/>
          <w:sz w:val="24"/>
          <w:szCs w:val="24"/>
        </w:rPr>
      </w:pPr>
      <w:r w:rsidRPr="0081481F">
        <w:rPr>
          <w:rFonts w:cs="Arial"/>
          <w:sz w:val="24"/>
          <w:szCs w:val="24"/>
        </w:rPr>
        <w:t xml:space="preserve">Users need to be mindful of personal, </w:t>
      </w:r>
      <w:proofErr w:type="gramStart"/>
      <w:r w:rsidRPr="0081481F">
        <w:rPr>
          <w:rFonts w:cs="Arial"/>
          <w:sz w:val="24"/>
          <w:szCs w:val="24"/>
        </w:rPr>
        <w:t>sensitive</w:t>
      </w:r>
      <w:proofErr w:type="gramEnd"/>
      <w:r w:rsidRPr="0081481F">
        <w:rPr>
          <w:rFonts w:cs="Arial"/>
          <w:sz w:val="24"/>
          <w:szCs w:val="24"/>
        </w:rPr>
        <w:t xml:space="preserve"> and special category data, as defined in data protection legislation, when storing and sharing data. If sharing personal, </w:t>
      </w:r>
      <w:proofErr w:type="gramStart"/>
      <w:r w:rsidRPr="0081481F">
        <w:rPr>
          <w:rFonts w:cs="Arial"/>
          <w:sz w:val="24"/>
          <w:szCs w:val="24"/>
        </w:rPr>
        <w:t>sensitive</w:t>
      </w:r>
      <w:proofErr w:type="gramEnd"/>
      <w:r w:rsidRPr="0081481F">
        <w:rPr>
          <w:rFonts w:cs="Arial"/>
          <w:sz w:val="24"/>
          <w:szCs w:val="24"/>
        </w:rPr>
        <w:t xml:space="preserve"> or special category data, users must be able to justify the purpose for needing to share the data, and the data must be encrypted if shared by email or systems other than SharePoint.</w:t>
      </w:r>
    </w:p>
    <w:p w14:paraId="521EFA7B" w14:textId="78336C60" w:rsidR="0081481F" w:rsidRPr="0081481F" w:rsidRDefault="0081481F" w:rsidP="0081481F">
      <w:pPr>
        <w:autoSpaceDE w:val="0"/>
        <w:autoSpaceDN w:val="0"/>
        <w:adjustRightInd w:val="0"/>
        <w:spacing w:before="120"/>
        <w:ind w:left="720"/>
        <w:rPr>
          <w:rFonts w:cs="Arial"/>
          <w:sz w:val="24"/>
          <w:szCs w:val="24"/>
        </w:rPr>
      </w:pPr>
      <w:r w:rsidRPr="0081481F">
        <w:rPr>
          <w:rFonts w:cs="Arial"/>
          <w:sz w:val="24"/>
          <w:szCs w:val="24"/>
        </w:rPr>
        <w:t>Non-sensitive data can be stored temporarily on removable media, such as USB storage, SD cards etc. providing any updated data is transferred back to A</w:t>
      </w:r>
      <w:r w:rsidR="007474BB">
        <w:rPr>
          <w:rFonts w:cs="Arial"/>
          <w:sz w:val="24"/>
          <w:szCs w:val="24"/>
        </w:rPr>
        <w:t>lliance</w:t>
      </w:r>
      <w:r w:rsidRPr="0081481F">
        <w:rPr>
          <w:rFonts w:cs="Arial"/>
          <w:sz w:val="24"/>
          <w:szCs w:val="24"/>
        </w:rPr>
        <w:t xml:space="preserve"> ICT Systems &amp; Services.</w:t>
      </w:r>
    </w:p>
    <w:p w14:paraId="7FA98719" w14:textId="77777777" w:rsidR="0081481F" w:rsidRDefault="0081481F" w:rsidP="0081481F">
      <w:pPr>
        <w:ind w:left="720"/>
        <w:rPr>
          <w:b/>
          <w:bCs/>
          <w:sz w:val="28"/>
          <w:szCs w:val="28"/>
        </w:rPr>
      </w:pPr>
    </w:p>
    <w:p w14:paraId="47F43BD7" w14:textId="0FBA508B" w:rsidR="0081481F" w:rsidRDefault="0081481F" w:rsidP="00ED766F">
      <w:pPr>
        <w:numPr>
          <w:ilvl w:val="0"/>
          <w:numId w:val="6"/>
        </w:numPr>
        <w:rPr>
          <w:b/>
          <w:bCs/>
          <w:sz w:val="28"/>
          <w:szCs w:val="28"/>
        </w:rPr>
      </w:pPr>
      <w:r>
        <w:rPr>
          <w:b/>
          <w:bCs/>
          <w:sz w:val="28"/>
          <w:szCs w:val="28"/>
        </w:rPr>
        <w:t>Emails and malware protection</w:t>
      </w:r>
    </w:p>
    <w:p w14:paraId="05308F3D" w14:textId="73670B76" w:rsidR="0081481F" w:rsidRPr="00C165BA" w:rsidRDefault="0081481F" w:rsidP="0081481F">
      <w:pPr>
        <w:spacing w:before="120"/>
        <w:ind w:left="720"/>
        <w:rPr>
          <w:rFonts w:cs="Calibri"/>
          <w:sz w:val="24"/>
          <w:szCs w:val="24"/>
        </w:rPr>
      </w:pPr>
      <w:r w:rsidRPr="00C165BA">
        <w:rPr>
          <w:rFonts w:cs="Calibri"/>
          <w:sz w:val="24"/>
          <w:szCs w:val="24"/>
        </w:rPr>
        <w:t xml:space="preserve">Users must be vigilant with incoming emails and be wary of content that looks suspicious. Avoid opening suspicious emails and never click on any links or attachments within these. Notify the </w:t>
      </w:r>
      <w:r w:rsidR="007474BB" w:rsidRPr="00C165BA">
        <w:rPr>
          <w:rFonts w:cs="Calibri"/>
          <w:sz w:val="24"/>
          <w:szCs w:val="24"/>
        </w:rPr>
        <w:t>coordinator</w:t>
      </w:r>
      <w:r w:rsidRPr="00C165BA">
        <w:rPr>
          <w:rFonts w:cs="Calibri"/>
          <w:sz w:val="24"/>
          <w:szCs w:val="24"/>
        </w:rPr>
        <w:t xml:space="preserve"> immediately if you suspect you’ve been the victim of an email attack, suspect you have malware on your device, or are not sure of the risk and need further guidance. </w:t>
      </w:r>
    </w:p>
    <w:p w14:paraId="32F3CBD6" w14:textId="719189CC" w:rsidR="0081481F" w:rsidRPr="00C165BA" w:rsidRDefault="0081481F" w:rsidP="0081481F">
      <w:pPr>
        <w:spacing w:before="120"/>
        <w:ind w:left="720"/>
        <w:rPr>
          <w:rFonts w:cs="Calibri"/>
          <w:sz w:val="24"/>
          <w:szCs w:val="24"/>
        </w:rPr>
      </w:pPr>
      <w:r w:rsidRPr="00C165BA">
        <w:rPr>
          <w:rFonts w:cs="Calibri"/>
          <w:sz w:val="24"/>
          <w:szCs w:val="24"/>
        </w:rPr>
        <w:t>While in transit, the confidentiality of an email cannot be guaranteed. Where personal or sensitive data is sent outside of the A</w:t>
      </w:r>
      <w:r w:rsidR="007474BB" w:rsidRPr="00C165BA">
        <w:rPr>
          <w:rFonts w:cs="Calibri"/>
          <w:sz w:val="24"/>
          <w:szCs w:val="24"/>
        </w:rPr>
        <w:t>lliance</w:t>
      </w:r>
      <w:r w:rsidRPr="00C165BA">
        <w:rPr>
          <w:rFonts w:cs="Calibri"/>
          <w:sz w:val="24"/>
          <w:szCs w:val="24"/>
        </w:rPr>
        <w:t xml:space="preserve"> via email, this must be encrypted or sent as password protected attachment and where possible the password should be sent via an alternative media, such as a text message. Passwords should not be sent in the same email as the attachment.</w:t>
      </w:r>
    </w:p>
    <w:p w14:paraId="16DC9C1C" w14:textId="3C2C6613" w:rsidR="0081481F" w:rsidRPr="00C165BA" w:rsidRDefault="0081481F" w:rsidP="0081481F">
      <w:pPr>
        <w:pStyle w:val="BodyTextIndent"/>
        <w:spacing w:before="120" w:after="0"/>
        <w:ind w:left="720"/>
        <w:rPr>
          <w:rFonts w:ascii="Calibri" w:hAnsi="Calibri" w:cs="Calibri"/>
          <w:sz w:val="24"/>
          <w:szCs w:val="24"/>
        </w:rPr>
      </w:pPr>
      <w:r w:rsidRPr="00C165BA">
        <w:rPr>
          <w:rFonts w:ascii="Calibri" w:hAnsi="Calibri" w:cs="Calibri"/>
          <w:sz w:val="24"/>
          <w:szCs w:val="24"/>
        </w:rPr>
        <w:t>Where possible large files should be shared via SharePoint rather than sent as email attachments.</w:t>
      </w:r>
    </w:p>
    <w:p w14:paraId="360C7069" w14:textId="164144A3" w:rsidR="0081481F" w:rsidRDefault="0081481F" w:rsidP="0081481F">
      <w:pPr>
        <w:spacing w:before="120"/>
        <w:rPr>
          <w:rFonts w:cs="Arial"/>
        </w:rPr>
      </w:pPr>
    </w:p>
    <w:p w14:paraId="0F63148C" w14:textId="6ED92A82" w:rsidR="00ED766F" w:rsidRPr="0081481F" w:rsidRDefault="0081481F" w:rsidP="0081481F">
      <w:pPr>
        <w:spacing w:before="120"/>
        <w:ind w:left="360"/>
        <w:rPr>
          <w:rFonts w:cs="Arial"/>
          <w:b/>
          <w:bCs/>
          <w:sz w:val="28"/>
          <w:szCs w:val="28"/>
        </w:rPr>
      </w:pPr>
      <w:r w:rsidRPr="0081481F">
        <w:rPr>
          <w:rFonts w:cs="Arial"/>
          <w:b/>
          <w:bCs/>
          <w:sz w:val="28"/>
          <w:szCs w:val="28"/>
        </w:rPr>
        <w:t>10. Personal Use</w:t>
      </w:r>
    </w:p>
    <w:p w14:paraId="5D4B531D" w14:textId="651948CE" w:rsidR="00ED766F" w:rsidRPr="007474BB" w:rsidRDefault="00ED766F" w:rsidP="0081481F">
      <w:pPr>
        <w:spacing w:before="120"/>
        <w:ind w:left="720"/>
        <w:rPr>
          <w:rFonts w:cs="Arial"/>
          <w:sz w:val="24"/>
          <w:szCs w:val="24"/>
        </w:rPr>
      </w:pPr>
      <w:r w:rsidRPr="007474BB">
        <w:rPr>
          <w:rFonts w:cs="Arial"/>
          <w:sz w:val="24"/>
          <w:szCs w:val="24"/>
        </w:rPr>
        <w:t>ICT Systems &amp; Services are provided primarily for business use, but occasional personal use is permitted providing use is not abused and does not have a detrimental impact on A</w:t>
      </w:r>
      <w:r w:rsidR="007474BB">
        <w:rPr>
          <w:rFonts w:cs="Arial"/>
          <w:sz w:val="24"/>
          <w:szCs w:val="24"/>
        </w:rPr>
        <w:t>lliance</w:t>
      </w:r>
      <w:r w:rsidRPr="007474BB">
        <w:rPr>
          <w:rFonts w:cs="Arial"/>
          <w:sz w:val="24"/>
          <w:szCs w:val="24"/>
        </w:rPr>
        <w:t xml:space="preserve"> business or network performance, and use is in accordance with the rest of this policy.</w:t>
      </w:r>
    </w:p>
    <w:p w14:paraId="395416A8" w14:textId="160AF762" w:rsidR="00C855FE" w:rsidRPr="007474BB" w:rsidRDefault="00ED766F" w:rsidP="007474BB">
      <w:pPr>
        <w:spacing w:before="120"/>
        <w:ind w:left="720"/>
        <w:rPr>
          <w:rFonts w:cs="Arial"/>
        </w:rPr>
      </w:pPr>
      <w:r w:rsidRPr="007474BB">
        <w:rPr>
          <w:rFonts w:cs="Arial"/>
          <w:sz w:val="24"/>
          <w:szCs w:val="24"/>
        </w:rPr>
        <w:t>Exceptions to this are the download and/or the storage of personal photo or music libraries, games software, and unauthorised software</w:t>
      </w:r>
      <w:r w:rsidRPr="006249F8">
        <w:rPr>
          <w:rFonts w:cs="Arial"/>
        </w:rPr>
        <w:t>.</w:t>
      </w:r>
    </w:p>
    <w:p w14:paraId="67D139AE" w14:textId="77777777" w:rsidR="00C855FE" w:rsidRDefault="00C855FE" w:rsidP="00C855FE">
      <w:pPr>
        <w:ind w:left="720"/>
        <w:rPr>
          <w:sz w:val="24"/>
          <w:szCs w:val="24"/>
        </w:rPr>
      </w:pPr>
    </w:p>
    <w:p w14:paraId="0BFFAF00" w14:textId="048C3EC0" w:rsidR="00C855FE" w:rsidRPr="00C855FE" w:rsidRDefault="00C855FE" w:rsidP="007474BB">
      <w:pPr>
        <w:ind w:firstLine="720"/>
        <w:rPr>
          <w:b/>
          <w:bCs/>
          <w:sz w:val="28"/>
          <w:szCs w:val="28"/>
        </w:rPr>
      </w:pPr>
      <w:r w:rsidRPr="00C855FE">
        <w:rPr>
          <w:b/>
          <w:bCs/>
          <w:sz w:val="28"/>
          <w:szCs w:val="28"/>
        </w:rPr>
        <w:t>Policy Review</w:t>
      </w:r>
    </w:p>
    <w:p w14:paraId="6F6E1913" w14:textId="566D322E" w:rsidR="003E328F" w:rsidRDefault="00426FDA" w:rsidP="007474BB">
      <w:pPr>
        <w:ind w:left="720"/>
        <w:rPr>
          <w:sz w:val="24"/>
          <w:szCs w:val="24"/>
        </w:rPr>
      </w:pPr>
      <w:r w:rsidRPr="00426FDA">
        <w:rPr>
          <w:sz w:val="24"/>
          <w:szCs w:val="24"/>
        </w:rPr>
        <w:t xml:space="preserve">The </w:t>
      </w:r>
      <w:r w:rsidR="003E328F">
        <w:rPr>
          <w:sz w:val="24"/>
          <w:szCs w:val="24"/>
        </w:rPr>
        <w:t>Company Secretary</w:t>
      </w:r>
      <w:r w:rsidRPr="00426FDA">
        <w:rPr>
          <w:sz w:val="24"/>
          <w:szCs w:val="24"/>
        </w:rPr>
        <w:t xml:space="preserve"> will review this policy on an annual basis in conjunction with the </w:t>
      </w:r>
      <w:r w:rsidR="003E328F">
        <w:rPr>
          <w:sz w:val="24"/>
          <w:szCs w:val="24"/>
        </w:rPr>
        <w:t>directors</w:t>
      </w:r>
      <w:r w:rsidRPr="00426FDA">
        <w:rPr>
          <w:sz w:val="24"/>
          <w:szCs w:val="24"/>
        </w:rPr>
        <w:t>, and will make any changes necessary</w:t>
      </w:r>
    </w:p>
    <w:p w14:paraId="6DC4D3BA" w14:textId="5F12BF5C" w:rsidR="00426FDA" w:rsidRDefault="00426FDA" w:rsidP="007474BB">
      <w:pPr>
        <w:ind w:left="720"/>
        <w:rPr>
          <w:sz w:val="24"/>
          <w:szCs w:val="24"/>
        </w:rPr>
      </w:pPr>
      <w:r w:rsidRPr="00426FDA">
        <w:rPr>
          <w:sz w:val="24"/>
          <w:szCs w:val="24"/>
        </w:rPr>
        <w:t xml:space="preserve">All </w:t>
      </w:r>
      <w:r w:rsidR="003E328F">
        <w:rPr>
          <w:sz w:val="24"/>
          <w:szCs w:val="24"/>
        </w:rPr>
        <w:t xml:space="preserve">Board members </w:t>
      </w:r>
      <w:r w:rsidRPr="00426FDA">
        <w:rPr>
          <w:sz w:val="24"/>
          <w:szCs w:val="24"/>
        </w:rPr>
        <w:t xml:space="preserve">are required to familiarise themselves with this policy upon their appointment to the </w:t>
      </w:r>
      <w:r w:rsidR="00C855FE">
        <w:rPr>
          <w:sz w:val="24"/>
          <w:szCs w:val="24"/>
        </w:rPr>
        <w:t>B</w:t>
      </w:r>
      <w:r w:rsidRPr="00426FDA">
        <w:rPr>
          <w:sz w:val="24"/>
          <w:szCs w:val="24"/>
        </w:rPr>
        <w:t>oard</w:t>
      </w:r>
      <w:r w:rsidR="003E328F">
        <w:rPr>
          <w:sz w:val="24"/>
          <w:szCs w:val="24"/>
        </w:rPr>
        <w:t>.</w:t>
      </w:r>
    </w:p>
    <w:p w14:paraId="32FB8114" w14:textId="77777777" w:rsidR="003E328F" w:rsidRDefault="003E328F" w:rsidP="00E95150">
      <w:pPr>
        <w:rPr>
          <w:sz w:val="24"/>
          <w:szCs w:val="24"/>
        </w:rPr>
      </w:pPr>
    </w:p>
    <w:p w14:paraId="7593B581" w14:textId="77777777" w:rsidR="003E328F" w:rsidRDefault="003E328F" w:rsidP="00E95150">
      <w:pPr>
        <w:rPr>
          <w:sz w:val="24"/>
          <w:szCs w:val="24"/>
        </w:rPr>
      </w:pPr>
    </w:p>
    <w:p w14:paraId="3EA6FC84" w14:textId="77777777" w:rsidR="003E328F" w:rsidRDefault="003E328F" w:rsidP="00E95150">
      <w:pPr>
        <w:rPr>
          <w:sz w:val="24"/>
          <w:szCs w:val="24"/>
        </w:rPr>
      </w:pPr>
    </w:p>
    <w:p w14:paraId="27322819" w14:textId="77777777" w:rsidR="003E328F" w:rsidRDefault="003E328F" w:rsidP="00E95150">
      <w:pPr>
        <w:rPr>
          <w:sz w:val="24"/>
          <w:szCs w:val="24"/>
        </w:rPr>
      </w:pPr>
    </w:p>
    <w:p w14:paraId="4A39203F" w14:textId="77777777" w:rsidR="003E328F" w:rsidRDefault="003E328F" w:rsidP="00E95150">
      <w:pPr>
        <w:rPr>
          <w:sz w:val="24"/>
          <w:szCs w:val="24"/>
        </w:rPr>
      </w:pPr>
    </w:p>
    <w:p w14:paraId="0C96F093" w14:textId="77777777" w:rsidR="003E328F" w:rsidRDefault="003E328F" w:rsidP="00E95150">
      <w:pPr>
        <w:rPr>
          <w:sz w:val="24"/>
          <w:szCs w:val="24"/>
        </w:rPr>
      </w:pPr>
    </w:p>
    <w:p w14:paraId="1597E928" w14:textId="77777777" w:rsidR="003E328F" w:rsidRDefault="003E328F" w:rsidP="00E95150">
      <w:pPr>
        <w:rPr>
          <w:sz w:val="24"/>
          <w:szCs w:val="24"/>
        </w:rPr>
      </w:pPr>
    </w:p>
    <w:p w14:paraId="7FD86E62" w14:textId="77777777" w:rsidR="003E328F" w:rsidRDefault="003E328F" w:rsidP="00E95150">
      <w:pPr>
        <w:rPr>
          <w:sz w:val="24"/>
          <w:szCs w:val="24"/>
        </w:rPr>
      </w:pPr>
    </w:p>
    <w:p w14:paraId="2D0F910D" w14:textId="77777777" w:rsidR="003E328F" w:rsidRDefault="003E328F" w:rsidP="00E95150">
      <w:pPr>
        <w:rPr>
          <w:sz w:val="24"/>
          <w:szCs w:val="24"/>
        </w:rPr>
      </w:pPr>
    </w:p>
    <w:p w14:paraId="493C657B" w14:textId="77777777" w:rsidR="003E328F" w:rsidRDefault="003E328F" w:rsidP="00E95150">
      <w:pPr>
        <w:rPr>
          <w:sz w:val="24"/>
          <w:szCs w:val="24"/>
        </w:rPr>
      </w:pPr>
    </w:p>
    <w:p w14:paraId="2D0DFDA5" w14:textId="77777777" w:rsidR="003E328F" w:rsidRDefault="003E328F" w:rsidP="00E95150">
      <w:pPr>
        <w:rPr>
          <w:sz w:val="24"/>
          <w:szCs w:val="24"/>
        </w:rPr>
      </w:pPr>
    </w:p>
    <w:p w14:paraId="1CD857A2" w14:textId="77777777" w:rsidR="003E328F" w:rsidRDefault="003E328F" w:rsidP="00E95150">
      <w:pPr>
        <w:rPr>
          <w:sz w:val="24"/>
          <w:szCs w:val="24"/>
        </w:rPr>
      </w:pPr>
    </w:p>
    <w:sectPr w:rsidR="003E32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FEAB" w14:textId="77777777" w:rsidR="003F7C69" w:rsidRDefault="003F7C69" w:rsidP="00A016DC">
      <w:pPr>
        <w:spacing w:after="0" w:line="240" w:lineRule="auto"/>
      </w:pPr>
      <w:r>
        <w:separator/>
      </w:r>
    </w:p>
  </w:endnote>
  <w:endnote w:type="continuationSeparator" w:id="0">
    <w:p w14:paraId="329E1F7D" w14:textId="77777777" w:rsidR="003F7C69" w:rsidRDefault="003F7C69" w:rsidP="00A0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6066" w14:textId="77777777" w:rsidR="00C165BA" w:rsidRDefault="00C16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E62" w14:textId="77777777" w:rsidR="001B1766" w:rsidRDefault="001B1766">
    <w:pPr>
      <w:pStyle w:val="Footer"/>
      <w:jc w:val="center"/>
    </w:pPr>
    <w:r>
      <w:fldChar w:fldCharType="begin"/>
    </w:r>
    <w:r>
      <w:instrText xml:space="preserve"> PAGE   \* MERGEFORMAT </w:instrText>
    </w:r>
    <w:r>
      <w:fldChar w:fldCharType="separate"/>
    </w:r>
    <w:r>
      <w:rPr>
        <w:noProof/>
      </w:rPr>
      <w:t>2</w:t>
    </w:r>
    <w:r>
      <w:rPr>
        <w:noProof/>
      </w:rPr>
      <w:fldChar w:fldCharType="end"/>
    </w:r>
  </w:p>
  <w:p w14:paraId="72F517F7" w14:textId="77777777" w:rsidR="00A016DC" w:rsidRDefault="00A0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A9E4" w14:textId="77777777" w:rsidR="00C165BA" w:rsidRDefault="00C16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5297F" w14:textId="77777777" w:rsidR="003F7C69" w:rsidRDefault="003F7C69" w:rsidP="00A016DC">
      <w:pPr>
        <w:spacing w:after="0" w:line="240" w:lineRule="auto"/>
      </w:pPr>
      <w:r>
        <w:separator/>
      </w:r>
    </w:p>
  </w:footnote>
  <w:footnote w:type="continuationSeparator" w:id="0">
    <w:p w14:paraId="10CF0095" w14:textId="77777777" w:rsidR="003F7C69" w:rsidRDefault="003F7C69" w:rsidP="00A0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AD2E" w14:textId="77777777" w:rsidR="00C165BA" w:rsidRDefault="00C16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F21A" w14:textId="00BD7138" w:rsidR="00C165BA" w:rsidRDefault="00C16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8AE7" w14:textId="77777777" w:rsidR="00C165BA" w:rsidRDefault="00C16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51C8"/>
    <w:multiLevelType w:val="hybridMultilevel"/>
    <w:tmpl w:val="32C04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344D83"/>
    <w:multiLevelType w:val="hybridMultilevel"/>
    <w:tmpl w:val="E93AE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873C0"/>
    <w:multiLevelType w:val="hybridMultilevel"/>
    <w:tmpl w:val="9E8C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64DF2"/>
    <w:multiLevelType w:val="hybridMultilevel"/>
    <w:tmpl w:val="23F260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0722748"/>
    <w:multiLevelType w:val="hybridMultilevel"/>
    <w:tmpl w:val="45F8A860"/>
    <w:lvl w:ilvl="0" w:tplc="FA02D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87413A"/>
    <w:multiLevelType w:val="hybridMultilevel"/>
    <w:tmpl w:val="1BA29CF8"/>
    <w:lvl w:ilvl="0" w:tplc="0778F1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0C15384"/>
    <w:multiLevelType w:val="multilevel"/>
    <w:tmpl w:val="9E42D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71F79FB"/>
    <w:multiLevelType w:val="hybridMultilevel"/>
    <w:tmpl w:val="D77C46E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577C6A6F"/>
    <w:multiLevelType w:val="hybridMultilevel"/>
    <w:tmpl w:val="2C4A5BAE"/>
    <w:lvl w:ilvl="0" w:tplc="00AAB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7472F0"/>
    <w:multiLevelType w:val="hybridMultilevel"/>
    <w:tmpl w:val="738060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9F674A"/>
    <w:multiLevelType w:val="hybridMultilevel"/>
    <w:tmpl w:val="9580DF7E"/>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1" w15:restartNumberingAfterBreak="0">
    <w:nsid w:val="676A09B8"/>
    <w:multiLevelType w:val="hybridMultilevel"/>
    <w:tmpl w:val="07B4D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76A77"/>
    <w:multiLevelType w:val="hybridMultilevel"/>
    <w:tmpl w:val="409886A2"/>
    <w:lvl w:ilvl="0" w:tplc="1C0E92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6284124"/>
    <w:multiLevelType w:val="hybridMultilevel"/>
    <w:tmpl w:val="8514C02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106818"/>
    <w:multiLevelType w:val="hybridMultilevel"/>
    <w:tmpl w:val="6142B76A"/>
    <w:lvl w:ilvl="0" w:tplc="AB161C0C">
      <w:start w:val="3"/>
      <w:numFmt w:val="bullet"/>
      <w:lvlText w:val="-"/>
      <w:lvlJc w:val="left"/>
      <w:pPr>
        <w:ind w:left="773"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484202707">
    <w:abstractNumId w:val="5"/>
  </w:num>
  <w:num w:numId="2" w16cid:durableId="1558467762">
    <w:abstractNumId w:val="12"/>
  </w:num>
  <w:num w:numId="3" w16cid:durableId="50858369">
    <w:abstractNumId w:val="4"/>
  </w:num>
  <w:num w:numId="4" w16cid:durableId="1466194349">
    <w:abstractNumId w:val="10"/>
  </w:num>
  <w:num w:numId="5" w16cid:durableId="2073381057">
    <w:abstractNumId w:val="14"/>
  </w:num>
  <w:num w:numId="6" w16cid:durableId="476529048">
    <w:abstractNumId w:val="6"/>
  </w:num>
  <w:num w:numId="7" w16cid:durableId="334193389">
    <w:abstractNumId w:val="13"/>
  </w:num>
  <w:num w:numId="8" w16cid:durableId="1468476958">
    <w:abstractNumId w:val="11"/>
  </w:num>
  <w:num w:numId="9" w16cid:durableId="1473870582">
    <w:abstractNumId w:val="8"/>
  </w:num>
  <w:num w:numId="10" w16cid:durableId="1097945781">
    <w:abstractNumId w:val="0"/>
  </w:num>
  <w:num w:numId="11" w16cid:durableId="383064172">
    <w:abstractNumId w:val="2"/>
  </w:num>
  <w:num w:numId="12" w16cid:durableId="1723479024">
    <w:abstractNumId w:val="3"/>
  </w:num>
  <w:num w:numId="13" w16cid:durableId="1252349618">
    <w:abstractNumId w:val="9"/>
  </w:num>
  <w:num w:numId="14" w16cid:durableId="1276450877">
    <w:abstractNumId w:val="1"/>
  </w:num>
  <w:num w:numId="15" w16cid:durableId="341398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6DC"/>
    <w:rsid w:val="0006057F"/>
    <w:rsid w:val="000A638D"/>
    <w:rsid w:val="001A3A7B"/>
    <w:rsid w:val="001B1766"/>
    <w:rsid w:val="002069F8"/>
    <w:rsid w:val="00246C74"/>
    <w:rsid w:val="00265102"/>
    <w:rsid w:val="002B5EB5"/>
    <w:rsid w:val="00361BBC"/>
    <w:rsid w:val="003D1DD9"/>
    <w:rsid w:val="003D4D8F"/>
    <w:rsid w:val="003E328F"/>
    <w:rsid w:val="003F7C69"/>
    <w:rsid w:val="00406FB0"/>
    <w:rsid w:val="00426FDA"/>
    <w:rsid w:val="00430977"/>
    <w:rsid w:val="00437D6E"/>
    <w:rsid w:val="00442858"/>
    <w:rsid w:val="004D6D49"/>
    <w:rsid w:val="00561230"/>
    <w:rsid w:val="006002D7"/>
    <w:rsid w:val="00722236"/>
    <w:rsid w:val="007474BB"/>
    <w:rsid w:val="00757E15"/>
    <w:rsid w:val="007B43C3"/>
    <w:rsid w:val="007E7665"/>
    <w:rsid w:val="0081481F"/>
    <w:rsid w:val="008E2968"/>
    <w:rsid w:val="00937FEC"/>
    <w:rsid w:val="009A6343"/>
    <w:rsid w:val="00A016DC"/>
    <w:rsid w:val="00B03450"/>
    <w:rsid w:val="00B2713C"/>
    <w:rsid w:val="00B71B33"/>
    <w:rsid w:val="00BD69B6"/>
    <w:rsid w:val="00C165BA"/>
    <w:rsid w:val="00C855FE"/>
    <w:rsid w:val="00CF5647"/>
    <w:rsid w:val="00D26A9F"/>
    <w:rsid w:val="00D83491"/>
    <w:rsid w:val="00DC5FF1"/>
    <w:rsid w:val="00DE169A"/>
    <w:rsid w:val="00E241A8"/>
    <w:rsid w:val="00E95150"/>
    <w:rsid w:val="00ED766F"/>
    <w:rsid w:val="00F226F0"/>
    <w:rsid w:val="00F40505"/>
    <w:rsid w:val="00F7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D16310"/>
  <w15:chartTrackingRefBased/>
  <w15:docId w15:val="{D027ED3C-17A1-44B4-B133-FEE24D36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DC"/>
  </w:style>
  <w:style w:type="paragraph" w:styleId="Footer">
    <w:name w:val="footer"/>
    <w:basedOn w:val="Normal"/>
    <w:link w:val="FooterChar"/>
    <w:uiPriority w:val="99"/>
    <w:unhideWhenUsed/>
    <w:rsid w:val="00A0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DC"/>
  </w:style>
  <w:style w:type="table" w:styleId="TableGrid">
    <w:name w:val="Table Grid"/>
    <w:basedOn w:val="TableNormal"/>
    <w:uiPriority w:val="39"/>
    <w:rsid w:val="003E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RL1Txt">
    <w:name w:val="XR L1 Txt"/>
    <w:basedOn w:val="Normal"/>
    <w:rsid w:val="00D26A9F"/>
    <w:pPr>
      <w:spacing w:after="0" w:line="280" w:lineRule="atLeast"/>
    </w:pPr>
    <w:rPr>
      <w:rFonts w:ascii="Arial" w:eastAsia="Times New Roman" w:hAnsi="Arial"/>
      <w:sz w:val="20"/>
      <w:szCs w:val="20"/>
    </w:rPr>
  </w:style>
  <w:style w:type="paragraph" w:styleId="BodyTextIndent">
    <w:name w:val="Body Text Indent"/>
    <w:basedOn w:val="Normal"/>
    <w:link w:val="BodyTextIndentChar"/>
    <w:rsid w:val="00D26A9F"/>
    <w:pPr>
      <w:spacing w:after="120" w:line="280" w:lineRule="atLeast"/>
      <w:ind w:left="283"/>
    </w:pPr>
    <w:rPr>
      <w:rFonts w:ascii="Arial" w:eastAsia="Times New Roman" w:hAnsi="Arial"/>
      <w:sz w:val="20"/>
      <w:szCs w:val="20"/>
    </w:rPr>
  </w:style>
  <w:style w:type="character" w:customStyle="1" w:styleId="BodyTextIndentChar">
    <w:name w:val="Body Text Indent Char"/>
    <w:link w:val="BodyTextIndent"/>
    <w:rsid w:val="00D26A9F"/>
    <w:rPr>
      <w:rFonts w:ascii="Arial" w:eastAsia="Times New Roman" w:hAnsi="Arial"/>
      <w:lang w:eastAsia="en-US"/>
    </w:rPr>
  </w:style>
  <w:style w:type="paragraph" w:styleId="ListParagraph">
    <w:name w:val="List Paragraph"/>
    <w:basedOn w:val="Normal"/>
    <w:uiPriority w:val="99"/>
    <w:qFormat/>
    <w:rsid w:val="00D83491"/>
    <w:pPr>
      <w:spacing w:after="0" w:line="280" w:lineRule="atLeast"/>
      <w:ind w:left="720"/>
      <w:contextualSpacing/>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Pearce</dc:creator>
  <cp:keywords/>
  <dc:description/>
  <cp:lastModifiedBy>Karen Pearce</cp:lastModifiedBy>
  <cp:revision>3</cp:revision>
  <dcterms:created xsi:type="dcterms:W3CDTF">2023-01-17T19:06:00Z</dcterms:created>
  <dcterms:modified xsi:type="dcterms:W3CDTF">2023-02-28T15:22:00Z</dcterms:modified>
</cp:coreProperties>
</file>